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E105A" w14:textId="50BCD984" w:rsidR="00763A53" w:rsidRPr="00383E7C" w:rsidRDefault="007F029C" w:rsidP="007F029C">
      <w:pPr>
        <w:jc w:val="center"/>
        <w:rPr>
          <w:b/>
          <w:u w:val="single"/>
        </w:rPr>
      </w:pPr>
      <w:r w:rsidRPr="00383E7C">
        <w:rPr>
          <w:b/>
          <w:u w:val="single"/>
        </w:rPr>
        <w:t>Centre for Sustainable Health Network</w:t>
      </w:r>
    </w:p>
    <w:p w14:paraId="0D652F1F" w14:textId="4BEA6205" w:rsidR="007F029C" w:rsidRPr="00383E7C" w:rsidRDefault="007F029C" w:rsidP="00A551B9">
      <w:pPr>
        <w:jc w:val="center"/>
        <w:rPr>
          <w:b/>
          <w:u w:val="single"/>
        </w:rPr>
      </w:pPr>
      <w:r w:rsidRPr="00383E7C">
        <w:rPr>
          <w:b/>
          <w:u w:val="single"/>
        </w:rPr>
        <w:t>Dr Ruth Greer</w:t>
      </w:r>
      <w:r w:rsidR="00A551B9" w:rsidRPr="00383E7C">
        <w:rPr>
          <w:b/>
          <w:u w:val="single"/>
        </w:rPr>
        <w:t xml:space="preserve">, </w:t>
      </w:r>
      <w:r w:rsidRPr="00383E7C">
        <w:rPr>
          <w:b/>
          <w:u w:val="single"/>
        </w:rPr>
        <w:t>ST7 Anaesthetist, Severn Deanery</w:t>
      </w:r>
    </w:p>
    <w:p w14:paraId="6C473802" w14:textId="033C9725" w:rsidR="007F029C" w:rsidRPr="00383E7C" w:rsidRDefault="007F029C" w:rsidP="007F029C">
      <w:pPr>
        <w:jc w:val="center"/>
        <w:rPr>
          <w:rFonts w:cstheme="minorHAnsi"/>
          <w:b/>
          <w:u w:val="single"/>
        </w:rPr>
      </w:pPr>
    </w:p>
    <w:p w14:paraId="7E4761FE" w14:textId="1260DC53" w:rsidR="007F029C" w:rsidRPr="00383E7C" w:rsidRDefault="007F029C" w:rsidP="00A551B9">
      <w:r w:rsidRPr="00383E7C">
        <w:t xml:space="preserve">The World Health Organisation describes climate change as the biggest threat to global health in the 21st century, yet the NHS produced 26.6 MtCO2e in 2015. </w:t>
      </w:r>
    </w:p>
    <w:p w14:paraId="1387501A" w14:textId="146C44ED" w:rsidR="007F029C" w:rsidRPr="00383E7C" w:rsidRDefault="007F029C" w:rsidP="00A551B9">
      <w:r w:rsidRPr="00383E7C">
        <w:t>In line with the Climate Change Act (2008), NHS England set reduction targets for CO2e emissions; 34% by 2020, 50% by 2025, 80% by 2050. To achieve this, a cultural change is required to embed environmental sustainability into NHS decision-making.</w:t>
      </w:r>
    </w:p>
    <w:p w14:paraId="2E1B211B" w14:textId="6CA36E18" w:rsidR="00462546" w:rsidRPr="00383E7C" w:rsidRDefault="00462546" w:rsidP="00A551B9">
      <w:r w:rsidRPr="00383E7C">
        <w:t>The NHS Long Term Plan calls for a 2% carbon emission reduction to be achieved through ‘t</w:t>
      </w:r>
      <w:r w:rsidRPr="00383E7C">
        <w:rPr>
          <w:color w:val="222222"/>
        </w:rPr>
        <w:t>ransforming anaesthetic practices’, supported by the recently published Environmental Strategy from the Royal College of Anaesthetists.</w:t>
      </w:r>
    </w:p>
    <w:p w14:paraId="467F2801" w14:textId="2A3A4FD0" w:rsidR="007F029C" w:rsidRPr="00383E7C" w:rsidRDefault="00462546" w:rsidP="00A551B9">
      <w:r w:rsidRPr="00383E7C">
        <w:t>This seems like a monumental task… but everyone can contribute.</w:t>
      </w:r>
    </w:p>
    <w:p w14:paraId="05467B94" w14:textId="41178241" w:rsidR="007F029C" w:rsidRPr="00383E7C" w:rsidRDefault="00462546" w:rsidP="00A551B9">
      <w:r w:rsidRPr="00383E7C">
        <w:t>At North Bristol NHS Trust I established an Environmentally Sustainable Theatres working group, engaging multiple stakeholders to meet</w:t>
      </w:r>
      <w:r w:rsidR="00A551B9" w:rsidRPr="00383E7C">
        <w:t>,</w:t>
      </w:r>
      <w:r w:rsidRPr="00383E7C">
        <w:t xml:space="preserve"> discuss</w:t>
      </w:r>
      <w:r w:rsidR="00A551B9" w:rsidRPr="00383E7C">
        <w:t xml:space="preserve"> and initiate</w:t>
      </w:r>
      <w:r w:rsidRPr="00383E7C">
        <w:t xml:space="preserve"> ideas to reduce our carbon footprint</w:t>
      </w:r>
      <w:r w:rsidR="00A551B9" w:rsidRPr="00383E7C">
        <w:t>. Attendees included:</w:t>
      </w:r>
    </w:p>
    <w:p w14:paraId="19827A37" w14:textId="6599C769" w:rsidR="00A551B9" w:rsidRPr="00383E7C" w:rsidRDefault="00A551B9" w:rsidP="00A551B9">
      <w:pPr>
        <w:pStyle w:val="ListParagraph"/>
        <w:numPr>
          <w:ilvl w:val="0"/>
          <w:numId w:val="4"/>
        </w:numPr>
      </w:pPr>
      <w:r w:rsidRPr="00383E7C">
        <w:t xml:space="preserve">Manager for </w:t>
      </w:r>
      <w:r w:rsidR="0010416F" w:rsidRPr="00383E7C">
        <w:t xml:space="preserve">the </w:t>
      </w:r>
      <w:r w:rsidRPr="00383E7C">
        <w:t>sustainability department</w:t>
      </w:r>
    </w:p>
    <w:p w14:paraId="0B5D5733" w14:textId="2113D99F" w:rsidR="00A551B9" w:rsidRPr="00383E7C" w:rsidRDefault="00A551B9" w:rsidP="00A551B9">
      <w:pPr>
        <w:pStyle w:val="ListParagraph"/>
        <w:numPr>
          <w:ilvl w:val="0"/>
          <w:numId w:val="4"/>
        </w:numPr>
      </w:pPr>
      <w:r w:rsidRPr="00383E7C">
        <w:t>Waste manager</w:t>
      </w:r>
    </w:p>
    <w:p w14:paraId="119075B7" w14:textId="00A2238C" w:rsidR="00A551B9" w:rsidRPr="00383E7C" w:rsidRDefault="00A551B9" w:rsidP="00A551B9">
      <w:pPr>
        <w:pStyle w:val="ListParagraph"/>
        <w:numPr>
          <w:ilvl w:val="0"/>
          <w:numId w:val="4"/>
        </w:numPr>
      </w:pPr>
      <w:r w:rsidRPr="00383E7C">
        <w:t>Theatre and ODP manager</w:t>
      </w:r>
    </w:p>
    <w:p w14:paraId="0F0B6DDB" w14:textId="5A923A56" w:rsidR="00A551B9" w:rsidRPr="00383E7C" w:rsidRDefault="00A551B9" w:rsidP="00A551B9">
      <w:pPr>
        <w:pStyle w:val="ListParagraph"/>
        <w:numPr>
          <w:ilvl w:val="0"/>
          <w:numId w:val="4"/>
        </w:numPr>
      </w:pPr>
      <w:r w:rsidRPr="00383E7C">
        <w:t>Environmental Awareness Representative for theatres</w:t>
      </w:r>
    </w:p>
    <w:p w14:paraId="36D4CC03" w14:textId="6EC8ABF3" w:rsidR="00A551B9" w:rsidRPr="00383E7C" w:rsidRDefault="00A551B9" w:rsidP="00A551B9">
      <w:pPr>
        <w:pStyle w:val="ListParagraph"/>
        <w:numPr>
          <w:ilvl w:val="0"/>
          <w:numId w:val="4"/>
        </w:numPr>
      </w:pPr>
      <w:r w:rsidRPr="00383E7C">
        <w:t>Anaesthetic lead</w:t>
      </w:r>
      <w:r w:rsidR="00916EDD" w:rsidRPr="00383E7C">
        <w:t>s</w:t>
      </w:r>
      <w:r w:rsidRPr="00383E7C">
        <w:t xml:space="preserve"> (consultant and registrar)</w:t>
      </w:r>
    </w:p>
    <w:p w14:paraId="5937449F" w14:textId="43070BAE" w:rsidR="00A551B9" w:rsidRPr="00383E7C" w:rsidRDefault="00A551B9" w:rsidP="00A551B9">
      <w:pPr>
        <w:pStyle w:val="ListParagraph"/>
        <w:numPr>
          <w:ilvl w:val="0"/>
          <w:numId w:val="4"/>
        </w:numPr>
      </w:pPr>
      <w:r w:rsidRPr="00383E7C">
        <w:t>Other interested parties from theatres</w:t>
      </w:r>
    </w:p>
    <w:p w14:paraId="1686E99D" w14:textId="37E8B7F7" w:rsidR="007F029C" w:rsidRPr="00383E7C" w:rsidRDefault="00A551B9" w:rsidP="00A551B9">
      <w:r w:rsidRPr="00383E7C">
        <w:t>A team approach enabled several projects to be kick-started at once, as well as promoting initiatives already running.</w:t>
      </w:r>
      <w:r w:rsidR="00065C51" w:rsidRPr="00383E7C">
        <w:t xml:space="preserve"> The more people I engaged through this group and the projects established, the greater the enthusiasm and success. </w:t>
      </w:r>
    </w:p>
    <w:p w14:paraId="78BC8028" w14:textId="6F93E4AE" w:rsidR="00A551B9" w:rsidRPr="00383E7C" w:rsidRDefault="00A551B9" w:rsidP="00A551B9">
      <w:r w:rsidRPr="00383E7C">
        <w:t>To date, the following projects are in various stages of action as a result of this group:</w:t>
      </w:r>
    </w:p>
    <w:p w14:paraId="2FA2E006" w14:textId="77777777" w:rsidR="00A551B9" w:rsidRPr="00383E7C" w:rsidRDefault="00A551B9" w:rsidP="00A551B9">
      <w:pPr>
        <w:pStyle w:val="ListParagraph"/>
        <w:numPr>
          <w:ilvl w:val="0"/>
          <w:numId w:val="3"/>
        </w:numPr>
      </w:pPr>
      <w:r w:rsidRPr="00383E7C">
        <w:t>Desflurane reduction campaign</w:t>
      </w:r>
    </w:p>
    <w:p w14:paraId="654271C1" w14:textId="2C7657AB" w:rsidR="00A551B9" w:rsidRPr="00383E7C" w:rsidRDefault="00A551B9" w:rsidP="00A551B9">
      <w:pPr>
        <w:pStyle w:val="ListParagraph"/>
        <w:numPr>
          <w:ilvl w:val="0"/>
          <w:numId w:val="3"/>
        </w:numPr>
      </w:pPr>
      <w:r w:rsidRPr="00383E7C">
        <w:t>PVC recycling scheme</w:t>
      </w:r>
    </w:p>
    <w:p w14:paraId="530E085F" w14:textId="69C22A2C" w:rsidR="00A551B9" w:rsidRPr="00383E7C" w:rsidRDefault="00A551B9" w:rsidP="00A551B9">
      <w:pPr>
        <w:pStyle w:val="ListParagraph"/>
        <w:numPr>
          <w:ilvl w:val="0"/>
          <w:numId w:val="3"/>
        </w:numPr>
      </w:pPr>
      <w:r w:rsidRPr="00383E7C">
        <w:t>Volatile recycling trial</w:t>
      </w:r>
    </w:p>
    <w:p w14:paraId="58D8D1F2" w14:textId="33606917" w:rsidR="00A4344B" w:rsidRPr="00383E7C" w:rsidRDefault="00A4344B" w:rsidP="00A551B9">
      <w:pPr>
        <w:pStyle w:val="ListParagraph"/>
        <w:numPr>
          <w:ilvl w:val="0"/>
          <w:numId w:val="3"/>
        </w:numPr>
      </w:pPr>
      <w:r w:rsidRPr="00383E7C">
        <w:t>Recycling awareness – what can and cannot be recycled from theatres</w:t>
      </w:r>
    </w:p>
    <w:p w14:paraId="63E6C114" w14:textId="4EFDC323" w:rsidR="00A551B9" w:rsidRPr="00383E7C" w:rsidRDefault="00A551B9" w:rsidP="00A551B9">
      <w:pPr>
        <w:pStyle w:val="ListParagraph"/>
        <w:numPr>
          <w:ilvl w:val="0"/>
          <w:numId w:val="3"/>
        </w:numPr>
      </w:pPr>
      <w:r w:rsidRPr="00383E7C">
        <w:t xml:space="preserve">Reduction of single use plastic items used </w:t>
      </w:r>
      <w:proofErr w:type="spellStart"/>
      <w:r w:rsidRPr="00383E7C">
        <w:t>eg.</w:t>
      </w:r>
      <w:proofErr w:type="spellEnd"/>
      <w:r w:rsidRPr="00383E7C">
        <w:t xml:space="preserve"> Patient belongings bags, cups, straws</w:t>
      </w:r>
    </w:p>
    <w:p w14:paraId="387D192B" w14:textId="0D4F79BB" w:rsidR="00A551B9" w:rsidRPr="00383E7C" w:rsidRDefault="00A551B9" w:rsidP="00A551B9">
      <w:pPr>
        <w:pStyle w:val="ListParagraph"/>
        <w:numPr>
          <w:ilvl w:val="0"/>
          <w:numId w:val="3"/>
        </w:numPr>
      </w:pPr>
      <w:r w:rsidRPr="00383E7C">
        <w:t>Reducing the use of electrical items including lights left on out of hours</w:t>
      </w:r>
    </w:p>
    <w:p w14:paraId="3CFDB168" w14:textId="6DCA9947" w:rsidR="00A551B9" w:rsidRPr="00383E7C" w:rsidRDefault="00A551B9" w:rsidP="00A551B9">
      <w:pPr>
        <w:pStyle w:val="ListParagraph"/>
        <w:numPr>
          <w:ilvl w:val="0"/>
          <w:numId w:val="3"/>
        </w:numPr>
      </w:pPr>
      <w:r w:rsidRPr="00383E7C">
        <w:t>Establishing a ‘Green Impact’ team within theatres</w:t>
      </w:r>
    </w:p>
    <w:p w14:paraId="2DF5E60F" w14:textId="30A325E3" w:rsidR="00A551B9" w:rsidRPr="00383E7C" w:rsidRDefault="00A551B9" w:rsidP="00A551B9">
      <w:r w:rsidRPr="00383E7C">
        <w:t>Desflurane has a significantly greater carbon footprint in comparison to other volatiles or TIVA</w:t>
      </w:r>
      <w:r w:rsidR="001E562D">
        <w:t xml:space="preserve"> (Sherman et al. 2012)</w:t>
      </w:r>
      <w:r w:rsidRPr="00383E7C">
        <w:t>. Other trusts in our region have already successfully reduced their usage</w:t>
      </w:r>
      <w:r w:rsidR="00065C51" w:rsidRPr="00383E7C">
        <w:t>, and therefore</w:t>
      </w:r>
      <w:r w:rsidRPr="00383E7C">
        <w:t xml:space="preserve"> their carbon footprint. We aim to follow suit. We have created a Sustainable Model of Care to increase awareness amongst anaesthetists of the significant impact of Desflurane on the environment.</w:t>
      </w:r>
    </w:p>
    <w:p w14:paraId="5B0AECE2" w14:textId="3E495606" w:rsidR="001E562D" w:rsidRDefault="00A4344B" w:rsidP="00A551B9">
      <w:r w:rsidRPr="00383E7C">
        <w:t xml:space="preserve">Environmental sustainability targets and Sustainable Models of Care are now embedded into every Directorate Business Plan at North Bristol </w:t>
      </w:r>
      <w:r w:rsidR="006F3BAB" w:rsidRPr="00383E7C">
        <w:t xml:space="preserve">NHS </w:t>
      </w:r>
      <w:r w:rsidRPr="00383E7C">
        <w:t>Trust</w:t>
      </w:r>
      <w:r w:rsidR="001E562D">
        <w:t>, a significant step forwards on our environmental journey</w:t>
      </w:r>
      <w:r w:rsidRPr="00383E7C">
        <w:t>.</w:t>
      </w:r>
    </w:p>
    <w:p w14:paraId="52F1C6F6" w14:textId="02B41E0F" w:rsidR="004877FD" w:rsidRDefault="004877FD" w:rsidP="00A551B9">
      <w:r>
        <w:lastRenderedPageBreak/>
        <w:t>There are many likeminded healthcare professionals throughout the Severn Deanery, all working towards improving environmental sustainability in the NHS. We aim to establish a ‘Green Deanery’ network, to share and link ideas from all trusts.</w:t>
      </w:r>
      <w:bookmarkStart w:id="0" w:name="_GoBack"/>
      <w:bookmarkEnd w:id="0"/>
    </w:p>
    <w:p w14:paraId="28AEF393" w14:textId="5732CD10" w:rsidR="00A551B9" w:rsidRDefault="004877FD" w:rsidP="00A551B9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A551B9">
        <w:rPr>
          <w:noProof/>
          <w:sz w:val="24"/>
          <w:szCs w:val="24"/>
        </w:rPr>
        <w:drawing>
          <wp:inline distT="0" distB="0" distL="0" distR="0" wp14:anchorId="32254BB0" wp14:editId="14EB5D7F">
            <wp:extent cx="5729605" cy="4257675"/>
            <wp:effectExtent l="0" t="0" r="444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AD09D" w14:textId="77777777" w:rsidR="001E562D" w:rsidRDefault="001E562D" w:rsidP="001E562D">
      <w:pPr>
        <w:rPr>
          <w:sz w:val="24"/>
          <w:szCs w:val="24"/>
        </w:rPr>
      </w:pPr>
    </w:p>
    <w:p w14:paraId="790C3191" w14:textId="5FBC21AB" w:rsidR="001E562D" w:rsidRPr="001E562D" w:rsidRDefault="001E562D" w:rsidP="001E562D">
      <w:pPr>
        <w:rPr>
          <w:b/>
        </w:rPr>
      </w:pPr>
      <w:r w:rsidRPr="001E562D">
        <w:rPr>
          <w:b/>
        </w:rPr>
        <w:t>References</w:t>
      </w:r>
    </w:p>
    <w:p w14:paraId="58CA7DEB" w14:textId="2BF1DF31" w:rsidR="001E562D" w:rsidRPr="001E562D" w:rsidRDefault="001E562D" w:rsidP="001E562D">
      <w:r w:rsidRPr="001E562D">
        <w:rPr>
          <w:lang w:val="da-DK"/>
        </w:rPr>
        <w:t>Sherman J. Et al. 2012. Life cycle greenhouse gas emissions of anaesthetic drugs. Anaesth Analg. 114(12)</w:t>
      </w:r>
    </w:p>
    <w:p w14:paraId="4BA374F3" w14:textId="77777777" w:rsidR="001E562D" w:rsidRPr="001E562D" w:rsidRDefault="001E562D" w:rsidP="00A551B9"/>
    <w:sectPr w:rsidR="001E562D" w:rsidRPr="001E5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671C5"/>
    <w:multiLevelType w:val="hybridMultilevel"/>
    <w:tmpl w:val="E6B2E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55618"/>
    <w:multiLevelType w:val="hybridMultilevel"/>
    <w:tmpl w:val="EBF47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B31E6"/>
    <w:multiLevelType w:val="hybridMultilevel"/>
    <w:tmpl w:val="57466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20A3F"/>
    <w:multiLevelType w:val="hybridMultilevel"/>
    <w:tmpl w:val="68FE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B3F7D"/>
    <w:multiLevelType w:val="hybridMultilevel"/>
    <w:tmpl w:val="DD5A41C6"/>
    <w:lvl w:ilvl="0" w:tplc="9662D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44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9E8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2E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8E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83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A3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6D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03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9C"/>
    <w:rsid w:val="00042ADD"/>
    <w:rsid w:val="00065C51"/>
    <w:rsid w:val="0010416F"/>
    <w:rsid w:val="001E562D"/>
    <w:rsid w:val="00383E7C"/>
    <w:rsid w:val="00462546"/>
    <w:rsid w:val="004877FD"/>
    <w:rsid w:val="006A5E07"/>
    <w:rsid w:val="006F3BAB"/>
    <w:rsid w:val="007F029C"/>
    <w:rsid w:val="00916EDD"/>
    <w:rsid w:val="00A4344B"/>
    <w:rsid w:val="00A551B9"/>
    <w:rsid w:val="00AF0EDE"/>
    <w:rsid w:val="00F9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2014B"/>
  <w15:chartTrackingRefBased/>
  <w15:docId w15:val="{58BD77D0-4024-42CF-B97F-95C3C72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1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8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Johnson</dc:creator>
  <cp:keywords/>
  <dc:description/>
  <cp:lastModifiedBy>Tom Johnson</cp:lastModifiedBy>
  <cp:revision>9</cp:revision>
  <dcterms:created xsi:type="dcterms:W3CDTF">2019-04-11T07:41:00Z</dcterms:created>
  <dcterms:modified xsi:type="dcterms:W3CDTF">2019-04-11T08:28:00Z</dcterms:modified>
</cp:coreProperties>
</file>