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du wp14">
  <w:body>
    <w:p w:rsidR="00897B52" w:rsidP="00CA7524" w:rsidRDefault="00897B52" w14:paraId="75023C75" w14:textId="77777777">
      <w:pPr>
        <w:spacing w:after="0"/>
        <w:rPr>
          <w:noProof/>
        </w:rPr>
      </w:pPr>
    </w:p>
    <w:p w:rsidR="00B81A67" w:rsidP="00CA7524" w:rsidRDefault="00332791" w14:paraId="75D9806F" w14:textId="34351F65">
      <w:pPr>
        <w:spacing w:after="0"/>
        <w:rPr>
          <w:noProof/>
        </w:rPr>
      </w:pPr>
      <w:r w:rsidRPr="00636411">
        <w:rPr>
          <w:noProof/>
        </w:rPr>
        <mc:AlternateContent>
          <mc:Choice Requires="wps">
            <w:drawing>
              <wp:anchor distT="0" distB="0" distL="114300" distR="114300" simplePos="0" relativeHeight="251658240" behindDoc="0" locked="0" layoutInCell="1" allowOverlap="1" wp14:anchorId="4F14827A" wp14:editId="0D805E86">
                <wp:simplePos x="0" y="0"/>
                <wp:positionH relativeFrom="column">
                  <wp:posOffset>-335559</wp:posOffset>
                </wp:positionH>
                <wp:positionV relativeFrom="paragraph">
                  <wp:posOffset>183387</wp:posOffset>
                </wp:positionV>
                <wp:extent cx="6835243" cy="943661"/>
                <wp:effectExtent l="0" t="0" r="381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243" cy="943661"/>
                        </a:xfrm>
                        <a:prstGeom prst="rect">
                          <a:avLst/>
                        </a:prstGeom>
                        <a:solidFill>
                          <a:srgbClr val="81D264"/>
                        </a:solidFill>
                        <a:ln w="25400" cap="flat" cmpd="sng" algn="ctr">
                          <a:noFill/>
                          <a:prstDash val="solid"/>
                        </a:ln>
                        <a:effectLst/>
                      </wps:spPr>
                      <wps:txbx>
                        <w:txbxContent>
                          <w:p w:rsidRPr="00897B52" w:rsidR="00B81A67" w:rsidP="00897B52" w:rsidRDefault="00B81A67" w14:paraId="518D07E5" w14:textId="49B48D8A">
                            <w:pPr>
                              <w:jc w:val="center"/>
                              <w:rPr>
                                <w:rFonts w:cstheme="minorHAnsi"/>
                                <w:b/>
                                <w:sz w:val="44"/>
                                <w:szCs w:val="44"/>
                              </w:rPr>
                            </w:pPr>
                            <w:r w:rsidRPr="00897B52">
                              <w:rPr>
                                <w:rFonts w:cstheme="minorHAnsi"/>
                                <w:b/>
                                <w:sz w:val="44"/>
                                <w:szCs w:val="44"/>
                              </w:rPr>
                              <w:t>In-Centre Haemodialysis Care Pathway</w:t>
                            </w:r>
                            <w:r w:rsidRPr="00897B52" w:rsidR="00332791">
                              <w:rPr>
                                <w:rFonts w:cstheme="minorHAnsi"/>
                                <w:b/>
                                <w:sz w:val="44"/>
                                <w:szCs w:val="44"/>
                              </w:rPr>
                              <w:t xml:space="preserve"> </w:t>
                            </w:r>
                            <w:r w:rsidR="003B227F">
                              <w:rPr>
                                <w:rFonts w:cstheme="minorHAnsi"/>
                                <w:b/>
                                <w:sz w:val="44"/>
                                <w:szCs w:val="44"/>
                              </w:rPr>
                              <w:t>Ev</w:t>
                            </w:r>
                            <w:r w:rsidR="0026013F">
                              <w:rPr>
                                <w:rFonts w:cstheme="minorHAnsi"/>
                                <w:b/>
                                <w:sz w:val="44"/>
                                <w:szCs w:val="44"/>
                              </w:rPr>
                              <w:t>aluation</w:t>
                            </w:r>
                            <w:r w:rsidR="005139F1">
                              <w:rPr>
                                <w:rFonts w:cstheme="minorHAnsi"/>
                                <w:b/>
                                <w:sz w:val="44"/>
                                <w:szCs w:val="44"/>
                              </w:rPr>
                              <w:t xml:space="preserve"> and Carbon impact report</w:t>
                            </w:r>
                          </w:p>
                          <w:p w:rsidR="00B81A67" w:rsidP="00332791" w:rsidRDefault="00B81A67" w14:paraId="2A74B941" w14:textId="77777777">
                            <w:pPr>
                              <w:ind w:left="142"/>
                              <w:jc w:val="center"/>
                              <w:rPr>
                                <w:rFonts w:ascii="Arial" w:hAnsi="Arial" w:cs="Arial"/>
                                <w:b/>
                                <w:sz w:val="32"/>
                                <w:szCs w:val="32"/>
                              </w:rPr>
                            </w:pPr>
                          </w:p>
                          <w:p w:rsidRPr="00330333" w:rsidR="00B81A67" w:rsidP="00332791" w:rsidRDefault="00B81A67" w14:paraId="5AF3BD04" w14:textId="77777777">
                            <w:pPr>
                              <w:ind w:left="142"/>
                              <w:jc w:val="cente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style="position:absolute;margin-left:-26.4pt;margin-top:14.45pt;width:538.2pt;height:7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81d264" stroked="f" strokeweight="2pt" w14:anchorId="4F14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">
                <v:textbox>
                  <w:txbxContent>
                    <w:p w:rsidRPr="00897B52" w:rsidR="00B81A67" w:rsidP="00897B52" w:rsidRDefault="00B81A67" w14:paraId="518D07E5" w14:textId="49B48D8A">
                      <w:pPr>
                        <w:jc w:val="center"/>
                        <w:rPr>
                          <w:rFonts w:cstheme="minorHAnsi"/>
                          <w:b/>
                          <w:sz w:val="44"/>
                          <w:szCs w:val="44"/>
                        </w:rPr>
                      </w:pPr>
                      <w:r w:rsidRPr="00897B52">
                        <w:rPr>
                          <w:rFonts w:cstheme="minorHAnsi"/>
                          <w:b/>
                          <w:sz w:val="44"/>
                          <w:szCs w:val="44"/>
                        </w:rPr>
                        <w:t>In-Centre Haemodialysis Care Pathway</w:t>
                      </w:r>
                      <w:r w:rsidRPr="00897B52" w:rsidR="00332791">
                        <w:rPr>
                          <w:rFonts w:cstheme="minorHAnsi"/>
                          <w:b/>
                          <w:sz w:val="44"/>
                          <w:szCs w:val="44"/>
                        </w:rPr>
                        <w:t xml:space="preserve"> </w:t>
                      </w:r>
                      <w:r w:rsidR="003B227F">
                        <w:rPr>
                          <w:rFonts w:cstheme="minorHAnsi"/>
                          <w:b/>
                          <w:sz w:val="44"/>
                          <w:szCs w:val="44"/>
                        </w:rPr>
                        <w:t>Ev</w:t>
                      </w:r>
                      <w:r w:rsidR="0026013F">
                        <w:rPr>
                          <w:rFonts w:cstheme="minorHAnsi"/>
                          <w:b/>
                          <w:sz w:val="44"/>
                          <w:szCs w:val="44"/>
                        </w:rPr>
                        <w:t>aluation</w:t>
                      </w:r>
                      <w:r w:rsidR="005139F1">
                        <w:rPr>
                          <w:rFonts w:cstheme="minorHAnsi"/>
                          <w:b/>
                          <w:sz w:val="44"/>
                          <w:szCs w:val="44"/>
                        </w:rPr>
                        <w:t xml:space="preserve"> and Carbon impact report</w:t>
                      </w:r>
                    </w:p>
                    <w:p w:rsidR="00B81A67" w:rsidP="00332791" w:rsidRDefault="00B81A67" w14:paraId="2A74B941" w14:textId="77777777">
                      <w:pPr>
                        <w:ind w:left="142"/>
                        <w:jc w:val="center"/>
                        <w:rPr>
                          <w:rFonts w:ascii="Arial" w:hAnsi="Arial" w:cs="Arial"/>
                          <w:b/>
                          <w:sz w:val="32"/>
                          <w:szCs w:val="32"/>
                        </w:rPr>
                      </w:pPr>
                    </w:p>
                    <w:p w:rsidRPr="00330333" w:rsidR="00B81A67" w:rsidP="00332791" w:rsidRDefault="00B81A67" w14:paraId="5AF3BD04" w14:textId="77777777">
                      <w:pPr>
                        <w:ind w:left="142"/>
                        <w:jc w:val="center"/>
                        <w:rPr>
                          <w:rFonts w:ascii="Arial" w:hAnsi="Arial" w:cs="Arial"/>
                          <w:b/>
                          <w:sz w:val="32"/>
                          <w:szCs w:val="32"/>
                        </w:rPr>
                      </w:pPr>
                    </w:p>
                  </w:txbxContent>
                </v:textbox>
              </v:rect>
            </w:pict>
          </mc:Fallback>
        </mc:AlternateContent>
      </w:r>
    </w:p>
    <w:p w:rsidR="00B81A67" w:rsidP="00CA7524" w:rsidRDefault="00B81A67" w14:paraId="7206371A" w14:textId="02423BFC">
      <w:pPr>
        <w:spacing w:after="0"/>
        <w:rPr>
          <w:noProof/>
        </w:rPr>
      </w:pPr>
    </w:p>
    <w:p w:rsidR="00B81A67" w:rsidP="00CA7524" w:rsidRDefault="00B81A67" w14:paraId="156D588A" w14:textId="77777777">
      <w:pPr>
        <w:spacing w:after="0"/>
        <w:rPr>
          <w:noProof/>
        </w:rPr>
      </w:pPr>
    </w:p>
    <w:p w:rsidR="00B81A67" w:rsidP="00CA7524" w:rsidRDefault="00B81A67" w14:paraId="20F7F646" w14:textId="77777777">
      <w:pPr>
        <w:spacing w:after="0"/>
        <w:rPr>
          <w:noProof/>
        </w:rPr>
      </w:pPr>
    </w:p>
    <w:p w:rsidR="00B81A67" w:rsidP="00CA7524" w:rsidRDefault="00B81A67" w14:paraId="65B03669" w14:textId="77777777">
      <w:pPr>
        <w:spacing w:after="0"/>
        <w:rPr>
          <w:noProof/>
        </w:rPr>
      </w:pPr>
    </w:p>
    <w:p w:rsidR="00897B52" w:rsidP="00CA7524" w:rsidRDefault="00897B52" w14:paraId="4CB6EDEA" w14:textId="77777777">
      <w:pPr>
        <w:spacing w:after="0"/>
        <w:rPr>
          <w:noProof/>
        </w:rPr>
      </w:pPr>
    </w:p>
    <w:p w:rsidR="00897B52" w:rsidP="00CA7524" w:rsidRDefault="00897B52" w14:paraId="33D64E69" w14:textId="77777777">
      <w:pPr>
        <w:spacing w:after="0"/>
        <w:rPr>
          <w:noProof/>
        </w:rPr>
      </w:pPr>
    </w:p>
    <w:p w:rsidR="00897B52" w:rsidP="00CA7524" w:rsidRDefault="00897B52" w14:paraId="4E0DA56B" w14:textId="77777777">
      <w:pPr>
        <w:spacing w:after="0"/>
        <w:rPr>
          <w:noProof/>
        </w:rPr>
      </w:pPr>
    </w:p>
    <w:p w:rsidR="00897B52" w:rsidP="00CA7524" w:rsidRDefault="00897B52" w14:paraId="364F0C8E" w14:textId="77777777">
      <w:pPr>
        <w:spacing w:after="0"/>
        <w:rPr>
          <w:noProof/>
        </w:rPr>
      </w:pPr>
    </w:p>
    <w:p w:rsidR="00B81A67" w:rsidP="00897B52" w:rsidRDefault="00897B52" w14:paraId="6EE1FA13" w14:textId="50821CEB">
      <w:pPr>
        <w:spacing w:after="0"/>
        <w:jc w:val="center"/>
        <w:rPr>
          <w:noProof/>
        </w:rPr>
      </w:pPr>
      <w:r>
        <w:rPr>
          <w:noProof/>
        </w:rPr>
        <w:drawing>
          <wp:inline distT="0" distB="0" distL="0" distR="0" wp14:anchorId="2A9C5676" wp14:editId="5A882660">
            <wp:extent cx="5060232" cy="4659378"/>
            <wp:effectExtent l="0" t="0" r="7620" b="8255"/>
            <wp:docPr id="1403815491" name="Picture 1" descr="A building with a sign on the fr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15491" name="Picture 1" descr="A building with a sign on the fr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6484" cy="4701966"/>
                    </a:xfrm>
                    <a:prstGeom prst="rect">
                      <a:avLst/>
                    </a:prstGeom>
                    <a:noFill/>
                    <a:ln>
                      <a:noFill/>
                    </a:ln>
                  </pic:spPr>
                </pic:pic>
              </a:graphicData>
            </a:graphic>
          </wp:inline>
        </w:drawing>
      </w:r>
    </w:p>
    <w:p w:rsidRPr="00332791" w:rsidR="003F359D" w:rsidP="00332791" w:rsidRDefault="003F359D" w14:paraId="6054F794" w14:textId="77777777">
      <w:pPr>
        <w:spacing w:after="0" w:line="240" w:lineRule="auto"/>
        <w:rPr>
          <w:rFonts w:ascii="Arial" w:hAnsi="Arial" w:cs="Arial"/>
          <w:b/>
          <w:sz w:val="28"/>
          <w:szCs w:val="28"/>
        </w:rPr>
      </w:pPr>
    </w:p>
    <w:p w:rsidR="00897B52" w:rsidP="00332791" w:rsidRDefault="00897B52" w14:paraId="08B745D6" w14:textId="77777777">
      <w:pPr>
        <w:spacing w:line="240" w:lineRule="auto"/>
        <w:ind w:left="360"/>
        <w:rPr>
          <w:rFonts w:cstheme="minorHAnsi"/>
          <w:b/>
        </w:rPr>
      </w:pPr>
    </w:p>
    <w:p w:rsidR="00897B52" w:rsidP="00332791" w:rsidRDefault="00897B52" w14:paraId="3E33CD9F" w14:textId="77777777">
      <w:pPr>
        <w:spacing w:line="240" w:lineRule="auto"/>
        <w:ind w:left="360"/>
        <w:rPr>
          <w:rFonts w:cstheme="minorHAnsi"/>
          <w:b/>
        </w:rPr>
      </w:pPr>
    </w:p>
    <w:p w:rsidR="00897B52" w:rsidP="00332791" w:rsidRDefault="00897B52" w14:paraId="72A5228B" w14:textId="77777777">
      <w:pPr>
        <w:spacing w:line="240" w:lineRule="auto"/>
        <w:ind w:left="360"/>
        <w:rPr>
          <w:rFonts w:cstheme="minorHAnsi"/>
          <w:b/>
        </w:rPr>
      </w:pPr>
    </w:p>
    <w:p w:rsidR="00897B52" w:rsidP="00332791" w:rsidRDefault="00897B52" w14:paraId="4691A773" w14:textId="77777777">
      <w:pPr>
        <w:spacing w:line="240" w:lineRule="auto"/>
        <w:ind w:left="360"/>
        <w:rPr>
          <w:rFonts w:cstheme="minorHAnsi"/>
          <w:b/>
        </w:rPr>
      </w:pPr>
    </w:p>
    <w:p w:rsidR="00897B52" w:rsidP="00332791" w:rsidRDefault="00897B52" w14:paraId="7419B31D" w14:textId="77777777">
      <w:pPr>
        <w:spacing w:line="240" w:lineRule="auto"/>
        <w:ind w:left="360"/>
        <w:rPr>
          <w:rFonts w:cstheme="minorHAnsi"/>
          <w:b/>
        </w:rPr>
      </w:pPr>
    </w:p>
    <w:p w:rsidR="00897B52" w:rsidP="00332791" w:rsidRDefault="00897B52" w14:paraId="2FC6DF69" w14:textId="77777777">
      <w:pPr>
        <w:spacing w:line="240" w:lineRule="auto"/>
        <w:ind w:left="360"/>
        <w:rPr>
          <w:rFonts w:cstheme="minorHAnsi"/>
          <w:b/>
        </w:rPr>
      </w:pPr>
    </w:p>
    <w:p w:rsidR="00897B52" w:rsidP="00332791" w:rsidRDefault="00897B52" w14:paraId="394007C1" w14:textId="77777777">
      <w:pPr>
        <w:spacing w:line="240" w:lineRule="auto"/>
        <w:ind w:left="360"/>
        <w:rPr>
          <w:rFonts w:cstheme="minorHAnsi"/>
          <w:b/>
        </w:rPr>
      </w:pPr>
    </w:p>
    <w:p w:rsidR="00897B52" w:rsidP="00332791" w:rsidRDefault="00897B52" w14:paraId="0645E496" w14:textId="77777777">
      <w:pPr>
        <w:spacing w:line="240" w:lineRule="auto"/>
        <w:ind w:left="360"/>
        <w:rPr>
          <w:rFonts w:cstheme="minorHAnsi"/>
          <w:b/>
        </w:rPr>
      </w:pPr>
    </w:p>
    <w:p w:rsidR="00897B52" w:rsidP="00332791" w:rsidRDefault="00897B52" w14:paraId="1D06DE15" w14:textId="77777777">
      <w:pPr>
        <w:spacing w:line="240" w:lineRule="auto"/>
        <w:ind w:left="360"/>
        <w:rPr>
          <w:rFonts w:cstheme="minorHAnsi"/>
          <w:b/>
        </w:rPr>
      </w:pPr>
    </w:p>
    <w:p w:rsidR="00985BEF" w:rsidP="00332791" w:rsidRDefault="00985BEF" w14:paraId="0B62859F" w14:textId="77777777">
      <w:pPr>
        <w:spacing w:line="240" w:lineRule="auto"/>
        <w:ind w:left="360"/>
        <w:rPr>
          <w:rFonts w:cstheme="minorHAnsi"/>
          <w:b/>
        </w:rPr>
      </w:pPr>
    </w:p>
    <w:p w:rsidRPr="003F50D1" w:rsidR="00CA7524" w:rsidP="00332791" w:rsidRDefault="00CA7524" w14:paraId="141D20EA" w14:textId="68764A22">
      <w:pPr>
        <w:spacing w:line="240" w:lineRule="auto"/>
        <w:ind w:left="360"/>
        <w:rPr>
          <w:rFonts w:cstheme="minorHAnsi"/>
          <w:b/>
          <w:color w:val="538135" w:themeColor="accent6" w:themeShade="BF"/>
        </w:rPr>
      </w:pPr>
      <w:r w:rsidRPr="003F50D1">
        <w:rPr>
          <w:rFonts w:cstheme="minorHAnsi"/>
          <w:b/>
          <w:color w:val="538135" w:themeColor="accent6" w:themeShade="BF"/>
        </w:rPr>
        <w:lastRenderedPageBreak/>
        <w:t>Document control</w:t>
      </w:r>
    </w:p>
    <w:tbl>
      <w:tblPr>
        <w:tblW w:w="0" w:type="auto"/>
        <w:tblInd w:w="675" w:type="dxa"/>
        <w:tblBorders>
          <w:top w:val="single" w:color="81D264" w:sz="18" w:space="0"/>
          <w:left w:val="single" w:color="81D264" w:sz="18" w:space="0"/>
          <w:bottom w:val="single" w:color="81D264" w:sz="18" w:space="0"/>
          <w:right w:val="single" w:color="81D264" w:sz="18" w:space="0"/>
          <w:insideH w:val="single" w:color="81D264" w:sz="18" w:space="0"/>
          <w:insideV w:val="single" w:color="81D264" w:sz="18" w:space="0"/>
        </w:tblBorders>
        <w:tblLook w:val="04A0" w:firstRow="1" w:lastRow="0" w:firstColumn="1" w:lastColumn="0" w:noHBand="0" w:noVBand="1"/>
      </w:tblPr>
      <w:tblGrid>
        <w:gridCol w:w="2268"/>
        <w:gridCol w:w="6804"/>
      </w:tblGrid>
      <w:tr w:rsidRPr="00B81A67" w:rsidR="00CA7524" w:rsidTr="009D1A27" w14:paraId="46B2AA5F" w14:textId="77777777">
        <w:trPr>
          <w:trHeight w:val="360"/>
        </w:trPr>
        <w:tc>
          <w:tcPr>
            <w:tcW w:w="2268" w:type="dxa"/>
            <w:shd w:val="clear" w:color="auto" w:fill="A6A6A6"/>
          </w:tcPr>
          <w:p w:rsidRPr="00B81A67" w:rsidR="00CA7524" w:rsidP="009D1A27" w:rsidRDefault="00CA7524" w14:paraId="3C847D10"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Ref</w:t>
            </w:r>
          </w:p>
        </w:tc>
        <w:tc>
          <w:tcPr>
            <w:tcW w:w="6804" w:type="dxa"/>
            <w:shd w:val="clear" w:color="auto" w:fill="auto"/>
          </w:tcPr>
          <w:p w:rsidRPr="00B81A67" w:rsidR="00CA7524" w:rsidP="009D1A27" w:rsidRDefault="00CA7524" w14:paraId="41BE904D" w14:textId="2E2B8E2B">
            <w:pPr>
              <w:pStyle w:val="ListParagraph"/>
              <w:spacing w:before="60" w:after="0" w:line="240" w:lineRule="auto"/>
              <w:ind w:left="0"/>
              <w:rPr>
                <w:rFonts w:asciiTheme="minorHAnsi" w:hAnsiTheme="minorHAnsi" w:cstheme="minorHAnsi"/>
              </w:rPr>
            </w:pPr>
          </w:p>
        </w:tc>
      </w:tr>
      <w:tr w:rsidRPr="00B81A67" w:rsidR="00CA7524" w:rsidTr="009D1A27" w14:paraId="2905C51E" w14:textId="77777777">
        <w:trPr>
          <w:trHeight w:val="379"/>
        </w:trPr>
        <w:tc>
          <w:tcPr>
            <w:tcW w:w="2268" w:type="dxa"/>
            <w:shd w:val="clear" w:color="auto" w:fill="A6A6A6"/>
          </w:tcPr>
          <w:p w:rsidRPr="00B81A67" w:rsidR="00CA7524" w:rsidP="009D1A27" w:rsidRDefault="00CA7524" w14:paraId="4F3ED487" w14:textId="77777777">
            <w:pPr>
              <w:pStyle w:val="ListParagraph"/>
              <w:spacing w:before="20" w:after="0" w:line="240" w:lineRule="auto"/>
              <w:ind w:left="0"/>
              <w:rPr>
                <w:rFonts w:asciiTheme="minorHAnsi" w:hAnsiTheme="minorHAnsi" w:cstheme="minorHAnsi"/>
                <w:b/>
              </w:rPr>
            </w:pPr>
            <w:r w:rsidRPr="00B81A67">
              <w:rPr>
                <w:rFonts w:asciiTheme="minorHAnsi" w:hAnsiTheme="minorHAnsi" w:cstheme="minorHAnsi"/>
                <w:b/>
                <w:color w:val="FFFFFF"/>
              </w:rPr>
              <w:t>Version</w:t>
            </w:r>
          </w:p>
        </w:tc>
        <w:tc>
          <w:tcPr>
            <w:tcW w:w="6804" w:type="dxa"/>
            <w:shd w:val="clear" w:color="auto" w:fill="auto"/>
          </w:tcPr>
          <w:p w:rsidRPr="00B81A67" w:rsidR="00CA7524" w:rsidP="009D1A27" w:rsidRDefault="00B81A67" w14:paraId="386C2CF7" w14:textId="240F8E4C">
            <w:pPr>
              <w:pStyle w:val="ListParagraph"/>
              <w:spacing w:before="60" w:after="0" w:line="240" w:lineRule="auto"/>
              <w:ind w:left="0"/>
              <w:rPr>
                <w:rFonts w:asciiTheme="minorHAnsi" w:hAnsiTheme="minorHAnsi" w:cstheme="minorHAnsi"/>
              </w:rPr>
            </w:pPr>
            <w:r>
              <w:rPr>
                <w:rFonts w:asciiTheme="minorHAnsi" w:hAnsiTheme="minorHAnsi" w:cstheme="minorHAnsi"/>
              </w:rPr>
              <w:t>1</w:t>
            </w:r>
          </w:p>
        </w:tc>
      </w:tr>
      <w:tr w:rsidRPr="00B81A67" w:rsidR="00CA7524" w:rsidTr="009D1A27" w14:paraId="5C390418" w14:textId="77777777">
        <w:trPr>
          <w:trHeight w:val="412"/>
        </w:trPr>
        <w:tc>
          <w:tcPr>
            <w:tcW w:w="2268" w:type="dxa"/>
            <w:shd w:val="clear" w:color="auto" w:fill="A6A6A6"/>
          </w:tcPr>
          <w:p w:rsidRPr="00B81A67" w:rsidR="00CA7524" w:rsidP="009D1A27" w:rsidRDefault="00CA7524" w14:paraId="5D67CB04" w14:textId="77777777">
            <w:pPr>
              <w:pStyle w:val="ListParagraph"/>
              <w:spacing w:before="20" w:after="0" w:line="240" w:lineRule="auto"/>
              <w:ind w:left="0"/>
              <w:rPr>
                <w:rFonts w:asciiTheme="minorHAnsi" w:hAnsiTheme="minorHAnsi" w:cstheme="minorHAnsi"/>
                <w:b/>
              </w:rPr>
            </w:pPr>
            <w:r w:rsidRPr="00B81A67">
              <w:rPr>
                <w:rFonts w:asciiTheme="minorHAnsi" w:hAnsiTheme="minorHAnsi" w:cstheme="minorHAnsi"/>
                <w:b/>
                <w:color w:val="FFFFFF"/>
              </w:rPr>
              <w:t>Status</w:t>
            </w:r>
          </w:p>
        </w:tc>
        <w:tc>
          <w:tcPr>
            <w:tcW w:w="6804" w:type="dxa"/>
            <w:shd w:val="clear" w:color="auto" w:fill="auto"/>
          </w:tcPr>
          <w:p w:rsidRPr="00B81A67" w:rsidR="00CA7524" w:rsidP="009D1A27" w:rsidRDefault="00B81A67" w14:paraId="71E43E5A" w14:textId="44ED6E13">
            <w:pPr>
              <w:pStyle w:val="ListParagraph"/>
              <w:spacing w:before="60" w:after="0" w:line="240" w:lineRule="auto"/>
              <w:ind w:left="0"/>
              <w:rPr>
                <w:rFonts w:asciiTheme="minorHAnsi" w:hAnsiTheme="minorHAnsi" w:cstheme="minorHAnsi"/>
              </w:rPr>
            </w:pPr>
            <w:r>
              <w:rPr>
                <w:rFonts w:asciiTheme="minorHAnsi" w:hAnsiTheme="minorHAnsi" w:cstheme="minorHAnsi"/>
              </w:rPr>
              <w:t>Draft</w:t>
            </w:r>
          </w:p>
        </w:tc>
      </w:tr>
      <w:tr w:rsidRPr="00B81A67" w:rsidR="00CA7524" w:rsidTr="009D1A27" w14:paraId="2823FC94" w14:textId="77777777">
        <w:trPr>
          <w:trHeight w:val="412"/>
        </w:trPr>
        <w:tc>
          <w:tcPr>
            <w:tcW w:w="2268" w:type="dxa"/>
            <w:shd w:val="clear" w:color="auto" w:fill="A6A6A6"/>
          </w:tcPr>
          <w:p w:rsidRPr="00B81A67" w:rsidR="00CA7524" w:rsidP="009D1A27" w:rsidRDefault="00CA7524" w14:paraId="125F013C"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Document Sponsor</w:t>
            </w:r>
          </w:p>
        </w:tc>
        <w:tc>
          <w:tcPr>
            <w:tcW w:w="6804" w:type="dxa"/>
            <w:shd w:val="clear" w:color="auto" w:fill="auto"/>
          </w:tcPr>
          <w:p w:rsidR="00CA7524" w:rsidP="009D1A27" w:rsidRDefault="00155238" w14:paraId="61BF1F94" w14:textId="6C4E9F67">
            <w:pPr>
              <w:pStyle w:val="ListParagraph"/>
              <w:spacing w:before="60" w:after="0" w:line="240" w:lineRule="auto"/>
              <w:ind w:left="0"/>
              <w:rPr>
                <w:rFonts w:asciiTheme="minorHAnsi" w:hAnsiTheme="minorHAnsi" w:cstheme="minorHAnsi"/>
              </w:rPr>
            </w:pPr>
            <w:r>
              <w:rPr>
                <w:rFonts w:asciiTheme="minorHAnsi" w:hAnsiTheme="minorHAnsi" w:cstheme="minorHAnsi"/>
              </w:rPr>
              <w:t>Rachel Morris- Head of Sustainability</w:t>
            </w:r>
          </w:p>
          <w:p w:rsidRPr="00B81A67" w:rsidR="00155238" w:rsidP="009D1A27" w:rsidRDefault="00155238" w14:paraId="630DEFB6" w14:textId="0B673E62">
            <w:pPr>
              <w:pStyle w:val="ListParagraph"/>
              <w:spacing w:before="60" w:after="0" w:line="240" w:lineRule="auto"/>
              <w:ind w:left="0"/>
              <w:rPr>
                <w:rFonts w:asciiTheme="minorHAnsi" w:hAnsiTheme="minorHAnsi" w:cstheme="minorHAnsi"/>
              </w:rPr>
            </w:pPr>
            <w:r>
              <w:rPr>
                <w:rFonts w:asciiTheme="minorHAnsi" w:hAnsiTheme="minorHAnsi" w:cstheme="minorHAnsi"/>
              </w:rPr>
              <w:t>Mark Tuckett- Director of Strategy &amp; Planning</w:t>
            </w:r>
          </w:p>
          <w:p w:rsidR="00CA7524" w:rsidP="009D1A27" w:rsidRDefault="00FF669B" w14:paraId="3DE81094" w14:textId="77777777">
            <w:pPr>
              <w:pStyle w:val="ListParagraph"/>
              <w:spacing w:before="60" w:after="0" w:line="240" w:lineRule="auto"/>
              <w:ind w:left="0"/>
              <w:rPr>
                <w:rFonts w:asciiTheme="minorHAnsi" w:hAnsiTheme="minorHAnsi" w:cstheme="minorHAnsi"/>
              </w:rPr>
            </w:pPr>
            <w:r>
              <w:rPr>
                <w:rFonts w:asciiTheme="minorHAnsi" w:hAnsiTheme="minorHAnsi" w:cstheme="minorHAnsi"/>
              </w:rPr>
              <w:t>Lisa Johnson- Operations Director- SYRS</w:t>
            </w:r>
          </w:p>
          <w:p w:rsidR="00FF669B" w:rsidP="009D1A27" w:rsidRDefault="00DF143E" w14:paraId="11D6B322" w14:textId="213EB5A0">
            <w:pPr>
              <w:pStyle w:val="ListParagraph"/>
              <w:spacing w:before="60" w:after="0" w:line="240" w:lineRule="auto"/>
              <w:ind w:left="0"/>
              <w:rPr>
                <w:rFonts w:asciiTheme="minorHAnsi" w:hAnsiTheme="minorHAnsi" w:cstheme="minorHAnsi"/>
              </w:rPr>
            </w:pPr>
            <w:r>
              <w:rPr>
                <w:rFonts w:asciiTheme="minorHAnsi" w:hAnsiTheme="minorHAnsi" w:cstheme="minorHAnsi"/>
              </w:rPr>
              <w:t>Sheeba Jefferson</w:t>
            </w:r>
            <w:r w:rsidR="00FF669B">
              <w:rPr>
                <w:rFonts w:asciiTheme="minorHAnsi" w:hAnsiTheme="minorHAnsi" w:cstheme="minorHAnsi"/>
              </w:rPr>
              <w:t>- Nurse Director- SYRS</w:t>
            </w:r>
          </w:p>
          <w:p w:rsidRPr="00B81A67" w:rsidR="00FF669B" w:rsidP="009D1A27" w:rsidRDefault="00A163E2" w14:paraId="7C2B6739" w14:textId="1A7A8F9E">
            <w:pPr>
              <w:pStyle w:val="ListParagraph"/>
              <w:spacing w:before="60" w:after="0" w:line="240" w:lineRule="auto"/>
              <w:ind w:left="0"/>
              <w:rPr>
                <w:rFonts w:asciiTheme="minorHAnsi" w:hAnsiTheme="minorHAnsi" w:cstheme="minorHAnsi"/>
              </w:rPr>
            </w:pPr>
            <w:r w:rsidRPr="00A163E2">
              <w:rPr>
                <w:rFonts w:asciiTheme="minorHAnsi" w:hAnsiTheme="minorHAnsi" w:cstheme="minorHAnsi"/>
              </w:rPr>
              <w:t>Dr Arif Khwaja</w:t>
            </w:r>
            <w:r>
              <w:rPr>
                <w:rFonts w:asciiTheme="minorHAnsi" w:hAnsiTheme="minorHAnsi" w:cstheme="minorHAnsi"/>
              </w:rPr>
              <w:t>- Clinical Director Renal services</w:t>
            </w:r>
          </w:p>
        </w:tc>
      </w:tr>
      <w:tr w:rsidRPr="00B81A67" w:rsidR="00CA7524" w:rsidTr="009D1A27" w14:paraId="352BB0C3" w14:textId="77777777">
        <w:trPr>
          <w:trHeight w:val="412"/>
        </w:trPr>
        <w:tc>
          <w:tcPr>
            <w:tcW w:w="2268" w:type="dxa"/>
            <w:shd w:val="clear" w:color="auto" w:fill="A6A6A6"/>
          </w:tcPr>
          <w:p w:rsidRPr="00B81A67" w:rsidR="00CA7524" w:rsidP="009D1A27" w:rsidRDefault="00CA7524" w14:paraId="079D91CF"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Controlled Document Lead / Author*</w:t>
            </w:r>
          </w:p>
        </w:tc>
        <w:tc>
          <w:tcPr>
            <w:tcW w:w="6804" w:type="dxa"/>
            <w:shd w:val="clear" w:color="auto" w:fill="auto"/>
          </w:tcPr>
          <w:p w:rsidR="00CA7524" w:rsidP="009D1A27" w:rsidRDefault="00155238" w14:paraId="317A6BB7" w14:textId="77777777">
            <w:pPr>
              <w:pStyle w:val="ListParagraph"/>
              <w:spacing w:before="60" w:after="0" w:line="240" w:lineRule="auto"/>
              <w:ind w:left="0"/>
              <w:rPr>
                <w:rFonts w:asciiTheme="minorHAnsi" w:hAnsiTheme="minorHAnsi" w:cstheme="minorHAnsi"/>
              </w:rPr>
            </w:pPr>
            <w:r>
              <w:rPr>
                <w:rFonts w:asciiTheme="minorHAnsi" w:hAnsiTheme="minorHAnsi" w:cstheme="minorHAnsi"/>
              </w:rPr>
              <w:t>Rachel Cottam- Strategy &amp; Planning Manager</w:t>
            </w:r>
          </w:p>
          <w:p w:rsidRPr="00B81A67" w:rsidR="00155238" w:rsidP="009D1A27" w:rsidRDefault="00155238" w14:paraId="7791F332" w14:textId="6EB3DBDD">
            <w:pPr>
              <w:pStyle w:val="ListParagraph"/>
              <w:spacing w:before="60" w:after="0" w:line="240" w:lineRule="auto"/>
              <w:ind w:left="0"/>
              <w:rPr>
                <w:rFonts w:asciiTheme="minorHAnsi" w:hAnsiTheme="minorHAnsi" w:cstheme="minorHAnsi"/>
              </w:rPr>
            </w:pPr>
            <w:r>
              <w:rPr>
                <w:rFonts w:asciiTheme="minorHAnsi" w:hAnsiTheme="minorHAnsi" w:cstheme="minorHAnsi"/>
              </w:rPr>
              <w:t xml:space="preserve">Rebecca Palmer- </w:t>
            </w:r>
            <w:r w:rsidR="000B65CF">
              <w:rPr>
                <w:rFonts w:asciiTheme="minorHAnsi" w:hAnsiTheme="minorHAnsi" w:cstheme="minorHAnsi"/>
              </w:rPr>
              <w:t>lead nurse governance &amp; quality improvement- SYRS</w:t>
            </w:r>
          </w:p>
        </w:tc>
      </w:tr>
      <w:tr w:rsidRPr="00B81A67" w:rsidR="00CA7524" w:rsidTr="009D1A27" w14:paraId="1BB95EAE" w14:textId="77777777">
        <w:trPr>
          <w:trHeight w:val="412"/>
        </w:trPr>
        <w:tc>
          <w:tcPr>
            <w:tcW w:w="2268" w:type="dxa"/>
            <w:shd w:val="clear" w:color="auto" w:fill="A6A6A6"/>
          </w:tcPr>
          <w:p w:rsidRPr="00B81A67" w:rsidR="00CA7524" w:rsidP="009D1A27" w:rsidRDefault="00CA7524" w14:paraId="6828FC62"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Approval body</w:t>
            </w:r>
          </w:p>
        </w:tc>
        <w:tc>
          <w:tcPr>
            <w:tcW w:w="6804" w:type="dxa"/>
            <w:shd w:val="clear" w:color="auto" w:fill="auto"/>
          </w:tcPr>
          <w:p w:rsidRPr="00B81A67" w:rsidR="00CA7524" w:rsidP="009D1A27" w:rsidRDefault="000B65CF" w14:paraId="076729C0" w14:textId="50DDFBFC">
            <w:pPr>
              <w:pStyle w:val="ListParagraph"/>
              <w:spacing w:before="60" w:after="0" w:line="240" w:lineRule="auto"/>
              <w:ind w:left="0"/>
              <w:rPr>
                <w:rFonts w:asciiTheme="minorHAnsi" w:hAnsiTheme="minorHAnsi" w:cstheme="minorHAnsi"/>
              </w:rPr>
            </w:pPr>
            <w:r>
              <w:rPr>
                <w:rFonts w:asciiTheme="minorHAnsi" w:hAnsiTheme="minorHAnsi" w:cstheme="minorHAnsi"/>
              </w:rPr>
              <w:t>Sustainability Delivery Group</w:t>
            </w:r>
          </w:p>
        </w:tc>
      </w:tr>
      <w:tr w:rsidRPr="00B81A67" w:rsidR="00CA7524" w:rsidTr="009D1A27" w14:paraId="280143F4" w14:textId="77777777">
        <w:trPr>
          <w:trHeight w:val="412"/>
        </w:trPr>
        <w:tc>
          <w:tcPr>
            <w:tcW w:w="2268" w:type="dxa"/>
            <w:shd w:val="clear" w:color="auto" w:fill="A6A6A6"/>
          </w:tcPr>
          <w:p w:rsidRPr="00B81A67" w:rsidR="00CA7524" w:rsidP="009D1A27" w:rsidRDefault="00CA7524" w14:paraId="3171E7F8"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Date approved</w:t>
            </w:r>
          </w:p>
        </w:tc>
        <w:tc>
          <w:tcPr>
            <w:tcW w:w="6804" w:type="dxa"/>
            <w:shd w:val="clear" w:color="auto" w:fill="auto"/>
          </w:tcPr>
          <w:p w:rsidRPr="00B81A67" w:rsidR="00CA7524" w:rsidP="009D1A27" w:rsidRDefault="00CA7524" w14:paraId="79DCD5C1" w14:textId="6F18E09D">
            <w:pPr>
              <w:pStyle w:val="ListParagraph"/>
              <w:spacing w:before="60" w:after="0" w:line="240" w:lineRule="auto"/>
              <w:ind w:left="0"/>
              <w:rPr>
                <w:rFonts w:asciiTheme="minorHAnsi" w:hAnsiTheme="minorHAnsi" w:cstheme="minorHAnsi"/>
              </w:rPr>
            </w:pPr>
          </w:p>
        </w:tc>
      </w:tr>
      <w:tr w:rsidRPr="00B81A67" w:rsidR="00CA7524" w:rsidTr="009D1A27" w14:paraId="68A7B09E" w14:textId="77777777">
        <w:trPr>
          <w:trHeight w:val="412"/>
        </w:trPr>
        <w:tc>
          <w:tcPr>
            <w:tcW w:w="2268" w:type="dxa"/>
            <w:shd w:val="clear" w:color="auto" w:fill="A6A6A6"/>
          </w:tcPr>
          <w:p w:rsidRPr="00B81A67" w:rsidR="00CA7524" w:rsidP="009D1A27" w:rsidRDefault="00CA7524" w14:paraId="53989E6A"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Ratification body</w:t>
            </w:r>
          </w:p>
        </w:tc>
        <w:tc>
          <w:tcPr>
            <w:tcW w:w="6804" w:type="dxa"/>
            <w:shd w:val="clear" w:color="auto" w:fill="auto"/>
          </w:tcPr>
          <w:p w:rsidRPr="00B81A67" w:rsidR="00CA7524" w:rsidP="009D1A27" w:rsidRDefault="000B65CF" w14:paraId="210219E2" w14:textId="51522626">
            <w:pPr>
              <w:pStyle w:val="ListParagraph"/>
              <w:spacing w:before="60" w:after="0" w:line="240" w:lineRule="auto"/>
              <w:ind w:left="0"/>
              <w:rPr>
                <w:rFonts w:asciiTheme="minorHAnsi" w:hAnsiTheme="minorHAnsi" w:cstheme="minorHAnsi"/>
              </w:rPr>
            </w:pPr>
            <w:r>
              <w:rPr>
                <w:rFonts w:asciiTheme="minorHAnsi" w:hAnsiTheme="minorHAnsi" w:cstheme="minorHAnsi"/>
              </w:rPr>
              <w:t>Sustainability Delivery Group</w:t>
            </w:r>
          </w:p>
        </w:tc>
      </w:tr>
      <w:tr w:rsidRPr="00B81A67" w:rsidR="00CA7524" w:rsidTr="009D1A27" w14:paraId="518517A9" w14:textId="77777777">
        <w:trPr>
          <w:trHeight w:val="412"/>
        </w:trPr>
        <w:tc>
          <w:tcPr>
            <w:tcW w:w="2268" w:type="dxa"/>
            <w:shd w:val="clear" w:color="auto" w:fill="A6A6A6"/>
          </w:tcPr>
          <w:p w:rsidRPr="00B81A67" w:rsidR="00CA7524" w:rsidP="009D1A27" w:rsidRDefault="00CA7524" w14:paraId="042F7C1D"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Date ratified</w:t>
            </w:r>
          </w:p>
        </w:tc>
        <w:tc>
          <w:tcPr>
            <w:tcW w:w="6804" w:type="dxa"/>
            <w:shd w:val="clear" w:color="auto" w:fill="auto"/>
          </w:tcPr>
          <w:p w:rsidRPr="00B81A67" w:rsidR="00CA7524" w:rsidP="009D1A27" w:rsidRDefault="00CA7524" w14:paraId="2CB9086D" w14:textId="578E7178">
            <w:pPr>
              <w:pStyle w:val="ListParagraph"/>
              <w:spacing w:before="60" w:after="0" w:line="240" w:lineRule="auto"/>
              <w:ind w:left="0"/>
              <w:rPr>
                <w:rFonts w:asciiTheme="minorHAnsi" w:hAnsiTheme="minorHAnsi" w:cstheme="minorHAnsi"/>
              </w:rPr>
            </w:pPr>
          </w:p>
        </w:tc>
      </w:tr>
      <w:tr w:rsidRPr="00B81A67" w:rsidR="00CA7524" w:rsidTr="009D1A27" w14:paraId="034B2166" w14:textId="77777777">
        <w:trPr>
          <w:trHeight w:val="412"/>
        </w:trPr>
        <w:tc>
          <w:tcPr>
            <w:tcW w:w="2268" w:type="dxa"/>
            <w:shd w:val="clear" w:color="auto" w:fill="A6A6A6"/>
          </w:tcPr>
          <w:p w:rsidRPr="00B81A67" w:rsidR="00CA7524" w:rsidP="009D1A27" w:rsidRDefault="00CA7524" w14:paraId="79E994F8"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Issue date</w:t>
            </w:r>
          </w:p>
        </w:tc>
        <w:tc>
          <w:tcPr>
            <w:tcW w:w="6804" w:type="dxa"/>
            <w:shd w:val="clear" w:color="auto" w:fill="auto"/>
          </w:tcPr>
          <w:p w:rsidRPr="00B81A67" w:rsidR="00CA7524" w:rsidP="009D1A27" w:rsidRDefault="00CA7524" w14:paraId="1104E17D" w14:textId="0EA3F77E">
            <w:pPr>
              <w:pStyle w:val="ListParagraph"/>
              <w:spacing w:before="60" w:after="0" w:line="240" w:lineRule="auto"/>
              <w:ind w:left="0"/>
              <w:rPr>
                <w:rFonts w:asciiTheme="minorHAnsi" w:hAnsiTheme="minorHAnsi" w:cstheme="minorHAnsi"/>
              </w:rPr>
            </w:pPr>
          </w:p>
        </w:tc>
      </w:tr>
      <w:tr w:rsidRPr="00B81A67" w:rsidR="00CA7524" w:rsidTr="009D1A27" w14:paraId="234BA9A7" w14:textId="77777777">
        <w:trPr>
          <w:trHeight w:val="412"/>
        </w:trPr>
        <w:tc>
          <w:tcPr>
            <w:tcW w:w="2268" w:type="dxa"/>
            <w:shd w:val="clear" w:color="auto" w:fill="A6A6A6"/>
          </w:tcPr>
          <w:p w:rsidRPr="00B81A67" w:rsidR="00CA7524" w:rsidP="009D1A27" w:rsidRDefault="00CA7524" w14:paraId="744D073D" w14:textId="77777777">
            <w:pPr>
              <w:pStyle w:val="ListParagraph"/>
              <w:spacing w:before="20" w:after="0" w:line="240" w:lineRule="auto"/>
              <w:ind w:left="0"/>
              <w:rPr>
                <w:rFonts w:asciiTheme="minorHAnsi" w:hAnsiTheme="minorHAnsi" w:cstheme="minorHAnsi"/>
                <w:b/>
                <w:color w:val="FFFFFF"/>
              </w:rPr>
            </w:pPr>
            <w:r w:rsidRPr="00B81A67">
              <w:rPr>
                <w:rFonts w:asciiTheme="minorHAnsi" w:hAnsiTheme="minorHAnsi" w:cstheme="minorHAnsi"/>
                <w:b/>
                <w:color w:val="FFFFFF"/>
              </w:rPr>
              <w:t>Review date</w:t>
            </w:r>
          </w:p>
        </w:tc>
        <w:tc>
          <w:tcPr>
            <w:tcW w:w="6804" w:type="dxa"/>
            <w:shd w:val="clear" w:color="auto" w:fill="auto"/>
          </w:tcPr>
          <w:p w:rsidRPr="00B81A67" w:rsidR="00CA7524" w:rsidP="009D1A27" w:rsidRDefault="00CA7524" w14:paraId="4A1BB06A" w14:textId="435A49A8">
            <w:pPr>
              <w:pStyle w:val="ListParagraph"/>
              <w:spacing w:before="60" w:after="0" w:line="240" w:lineRule="auto"/>
              <w:ind w:left="0"/>
              <w:rPr>
                <w:rFonts w:asciiTheme="minorHAnsi" w:hAnsiTheme="minorHAnsi" w:cstheme="minorHAnsi"/>
              </w:rPr>
            </w:pPr>
          </w:p>
        </w:tc>
      </w:tr>
    </w:tbl>
    <w:p w:rsidR="00897B52" w:rsidP="00897B52" w:rsidRDefault="00897B52" w14:paraId="20477FEC" w14:textId="77777777">
      <w:pPr>
        <w:rPr>
          <w:rFonts w:cstheme="minorHAnsi"/>
          <w:b/>
        </w:rPr>
      </w:pPr>
    </w:p>
    <w:p w:rsidRPr="003F50D1" w:rsidR="00CA7524" w:rsidP="00BD0775" w:rsidRDefault="00CA7524" w14:paraId="3BFCAFB0" w14:textId="222FD693">
      <w:pPr>
        <w:ind w:left="426"/>
        <w:rPr>
          <w:rFonts w:cstheme="minorHAnsi"/>
          <w:b/>
          <w:color w:val="538135" w:themeColor="accent6" w:themeShade="BF"/>
        </w:rPr>
      </w:pPr>
      <w:r w:rsidRPr="003F50D1">
        <w:rPr>
          <w:rFonts w:cstheme="minorHAnsi"/>
          <w:b/>
          <w:color w:val="538135" w:themeColor="accent6" w:themeShade="BF"/>
        </w:rPr>
        <w:t>Version history</w:t>
      </w:r>
    </w:p>
    <w:tbl>
      <w:tblPr>
        <w:tblW w:w="0" w:type="auto"/>
        <w:tblInd w:w="675" w:type="dxa"/>
        <w:tblBorders>
          <w:top w:val="single" w:color="81D264" w:sz="18" w:space="0"/>
          <w:left w:val="single" w:color="81D264" w:sz="18" w:space="0"/>
          <w:bottom w:val="single" w:color="81D264" w:sz="18" w:space="0"/>
          <w:right w:val="single" w:color="81D264" w:sz="18" w:space="0"/>
          <w:insideH w:val="single" w:color="81D264" w:sz="18" w:space="0"/>
          <w:insideV w:val="single" w:color="81D264" w:sz="18" w:space="0"/>
        </w:tblBorders>
        <w:tblLook w:val="04A0" w:firstRow="1" w:lastRow="0" w:firstColumn="1" w:lastColumn="0" w:noHBand="0" w:noVBand="1"/>
      </w:tblPr>
      <w:tblGrid>
        <w:gridCol w:w="1276"/>
        <w:gridCol w:w="1701"/>
        <w:gridCol w:w="4111"/>
        <w:gridCol w:w="1984"/>
      </w:tblGrid>
      <w:tr w:rsidRPr="00B81A67" w:rsidR="00CA7524" w:rsidTr="009D1A27" w14:paraId="78A07679" w14:textId="77777777">
        <w:trPr>
          <w:trHeight w:val="371"/>
        </w:trPr>
        <w:tc>
          <w:tcPr>
            <w:tcW w:w="1276" w:type="dxa"/>
            <w:shd w:val="clear" w:color="auto" w:fill="A6A6A6"/>
          </w:tcPr>
          <w:p w:rsidRPr="00B81A67" w:rsidR="00CA7524" w:rsidP="009D1A27" w:rsidRDefault="00CA7524" w14:paraId="67ECDA09" w14:textId="77777777">
            <w:pPr>
              <w:spacing w:before="60" w:after="0" w:line="240" w:lineRule="auto"/>
              <w:rPr>
                <w:rFonts w:cstheme="minorHAnsi"/>
                <w:b/>
                <w:color w:val="FFFFFF"/>
              </w:rPr>
            </w:pPr>
            <w:r w:rsidRPr="00B81A67">
              <w:rPr>
                <w:rFonts w:cstheme="minorHAnsi"/>
                <w:b/>
                <w:color w:val="FFFFFF"/>
              </w:rPr>
              <w:t>Version</w:t>
            </w:r>
          </w:p>
        </w:tc>
        <w:tc>
          <w:tcPr>
            <w:tcW w:w="1701" w:type="dxa"/>
            <w:shd w:val="clear" w:color="auto" w:fill="A6A6A6"/>
          </w:tcPr>
          <w:p w:rsidRPr="00B81A67" w:rsidR="00CA7524" w:rsidP="009D1A27" w:rsidRDefault="00CA7524" w14:paraId="04758914" w14:textId="77777777">
            <w:pPr>
              <w:spacing w:before="60" w:after="0" w:line="240" w:lineRule="auto"/>
              <w:rPr>
                <w:rFonts w:cstheme="minorHAnsi"/>
                <w:b/>
                <w:color w:val="FFFFFF"/>
              </w:rPr>
            </w:pPr>
            <w:r w:rsidRPr="00B81A67">
              <w:rPr>
                <w:rFonts w:cstheme="minorHAnsi"/>
                <w:b/>
                <w:color w:val="FFFFFF"/>
              </w:rPr>
              <w:t>Date issued</w:t>
            </w:r>
          </w:p>
        </w:tc>
        <w:tc>
          <w:tcPr>
            <w:tcW w:w="4111" w:type="dxa"/>
            <w:shd w:val="clear" w:color="auto" w:fill="A6A6A6"/>
          </w:tcPr>
          <w:p w:rsidRPr="00B81A67" w:rsidR="00CA7524" w:rsidP="009D1A27" w:rsidRDefault="00CA7524" w14:paraId="2C1876C5" w14:textId="77777777">
            <w:pPr>
              <w:spacing w:before="60" w:after="0" w:line="240" w:lineRule="auto"/>
              <w:rPr>
                <w:rFonts w:cstheme="minorHAnsi"/>
                <w:b/>
                <w:color w:val="FFFFFF"/>
              </w:rPr>
            </w:pPr>
            <w:proofErr w:type="gramStart"/>
            <w:r w:rsidRPr="00B81A67">
              <w:rPr>
                <w:rFonts w:cstheme="minorHAnsi"/>
                <w:b/>
                <w:color w:val="FFFFFF"/>
              </w:rPr>
              <w:t>Brief summary</w:t>
            </w:r>
            <w:proofErr w:type="gramEnd"/>
            <w:r w:rsidRPr="00B81A67">
              <w:rPr>
                <w:rFonts w:cstheme="minorHAnsi"/>
                <w:b/>
                <w:color w:val="FFFFFF"/>
              </w:rPr>
              <w:t xml:space="preserve"> of changes</w:t>
            </w:r>
          </w:p>
        </w:tc>
        <w:tc>
          <w:tcPr>
            <w:tcW w:w="1984" w:type="dxa"/>
            <w:shd w:val="clear" w:color="auto" w:fill="A6A6A6"/>
          </w:tcPr>
          <w:p w:rsidRPr="00B81A67" w:rsidR="00CA7524" w:rsidP="009D1A27" w:rsidRDefault="00CA7524" w14:paraId="41912760" w14:textId="77777777">
            <w:pPr>
              <w:spacing w:before="60" w:after="0" w:line="240" w:lineRule="auto"/>
              <w:rPr>
                <w:rFonts w:cstheme="minorHAnsi"/>
                <w:b/>
                <w:color w:val="FFFFFF"/>
              </w:rPr>
            </w:pPr>
            <w:r w:rsidRPr="00B81A67">
              <w:rPr>
                <w:rFonts w:cstheme="minorHAnsi"/>
                <w:b/>
                <w:color w:val="FFFFFF"/>
              </w:rPr>
              <w:t>Author</w:t>
            </w:r>
          </w:p>
        </w:tc>
      </w:tr>
      <w:tr w:rsidRPr="00B81A67" w:rsidR="00CA7524" w:rsidTr="009D1A27" w14:paraId="05662A33" w14:textId="77777777">
        <w:trPr>
          <w:trHeight w:val="376"/>
        </w:trPr>
        <w:tc>
          <w:tcPr>
            <w:tcW w:w="1276" w:type="dxa"/>
            <w:shd w:val="clear" w:color="auto" w:fill="auto"/>
          </w:tcPr>
          <w:p w:rsidRPr="00B81A67" w:rsidR="00CA7524" w:rsidP="009D1A27" w:rsidRDefault="007B59C5" w14:paraId="3EEDEFAD" w14:textId="7A8E9DB2">
            <w:pPr>
              <w:spacing w:before="60" w:after="0" w:line="240" w:lineRule="auto"/>
              <w:rPr>
                <w:rFonts w:cstheme="minorHAnsi"/>
              </w:rPr>
            </w:pPr>
            <w:r>
              <w:rPr>
                <w:rFonts w:cstheme="minorHAnsi"/>
              </w:rPr>
              <w:t>1</w:t>
            </w:r>
          </w:p>
        </w:tc>
        <w:tc>
          <w:tcPr>
            <w:tcW w:w="1701" w:type="dxa"/>
            <w:shd w:val="clear" w:color="auto" w:fill="auto"/>
          </w:tcPr>
          <w:p w:rsidRPr="00B81A67" w:rsidR="00CA7524" w:rsidP="009D1A27" w:rsidRDefault="00CA7524" w14:paraId="49109318" w14:textId="77777777">
            <w:pPr>
              <w:spacing w:before="60" w:after="0" w:line="240" w:lineRule="auto"/>
              <w:rPr>
                <w:rFonts w:cstheme="minorHAnsi"/>
              </w:rPr>
            </w:pPr>
            <w:r w:rsidRPr="00B81A67">
              <w:rPr>
                <w:rFonts w:cstheme="minorHAnsi"/>
              </w:rPr>
              <w:fldChar w:fldCharType="begin">
                <w:ffData>
                  <w:name w:val=""/>
                  <w:enabled/>
                  <w:calcOnExit w:val="0"/>
                  <w:textInput>
                    <w:default w:val="Date"/>
                  </w:textInput>
                </w:ffData>
              </w:fldChar>
            </w:r>
            <w:r w:rsidRPr="00B81A67">
              <w:rPr>
                <w:rFonts w:cstheme="minorHAnsi"/>
              </w:rPr>
              <w:instrText xml:space="preserve"> FORMTEXT </w:instrText>
            </w:r>
            <w:r w:rsidRPr="00B81A67">
              <w:rPr>
                <w:rFonts w:cstheme="minorHAnsi"/>
              </w:rPr>
            </w:r>
            <w:r w:rsidRPr="00B81A67">
              <w:rPr>
                <w:rFonts w:cstheme="minorHAnsi"/>
              </w:rPr>
              <w:fldChar w:fldCharType="separate"/>
            </w:r>
            <w:r w:rsidRPr="00B81A67">
              <w:rPr>
                <w:rFonts w:cstheme="minorHAnsi"/>
                <w:noProof/>
              </w:rPr>
              <w:t>Date</w:t>
            </w:r>
            <w:r w:rsidRPr="00B81A67">
              <w:rPr>
                <w:rFonts w:cstheme="minorHAnsi"/>
              </w:rPr>
              <w:fldChar w:fldCharType="end"/>
            </w:r>
          </w:p>
        </w:tc>
        <w:tc>
          <w:tcPr>
            <w:tcW w:w="4111" w:type="dxa"/>
            <w:shd w:val="clear" w:color="auto" w:fill="auto"/>
          </w:tcPr>
          <w:p w:rsidRPr="00B81A67" w:rsidR="00CA7524" w:rsidP="009D1A27" w:rsidRDefault="007B59C5" w14:paraId="1BE7D1FE" w14:textId="16B93379">
            <w:pPr>
              <w:spacing w:before="60" w:after="0" w:line="240" w:lineRule="auto"/>
              <w:rPr>
                <w:rFonts w:cstheme="minorHAnsi"/>
              </w:rPr>
            </w:pPr>
            <w:r>
              <w:rPr>
                <w:rFonts w:cstheme="minorHAnsi"/>
              </w:rPr>
              <w:t>First draft following completion of Carbon footprint toolkit</w:t>
            </w:r>
          </w:p>
        </w:tc>
        <w:tc>
          <w:tcPr>
            <w:tcW w:w="1984" w:type="dxa"/>
            <w:shd w:val="clear" w:color="auto" w:fill="auto"/>
          </w:tcPr>
          <w:p w:rsidR="00CA7524" w:rsidP="009D1A27" w:rsidRDefault="007B59C5" w14:paraId="7AB3807F" w14:textId="77777777">
            <w:pPr>
              <w:spacing w:before="60" w:after="0" w:line="240" w:lineRule="auto"/>
              <w:rPr>
                <w:rFonts w:cstheme="minorHAnsi"/>
              </w:rPr>
            </w:pPr>
            <w:r>
              <w:rPr>
                <w:rFonts w:cstheme="minorHAnsi"/>
              </w:rPr>
              <w:t>Rachel Cottam</w:t>
            </w:r>
          </w:p>
          <w:p w:rsidRPr="00B81A67" w:rsidR="007B59C5" w:rsidP="009D1A27" w:rsidRDefault="007B59C5" w14:paraId="276FC1AF" w14:textId="3187026F">
            <w:pPr>
              <w:spacing w:before="60" w:after="0" w:line="240" w:lineRule="auto"/>
              <w:rPr>
                <w:rFonts w:cstheme="minorHAnsi"/>
              </w:rPr>
            </w:pPr>
            <w:r>
              <w:rPr>
                <w:rFonts w:cstheme="minorHAnsi"/>
              </w:rPr>
              <w:t>Rebecca Palmer</w:t>
            </w:r>
          </w:p>
        </w:tc>
      </w:tr>
      <w:tr w:rsidRPr="00B81A67" w:rsidR="00CA7524" w:rsidTr="009D1A27" w14:paraId="416BCDC6" w14:textId="77777777">
        <w:trPr>
          <w:trHeight w:val="376"/>
        </w:trPr>
        <w:tc>
          <w:tcPr>
            <w:tcW w:w="1276" w:type="dxa"/>
            <w:shd w:val="clear" w:color="auto" w:fill="auto"/>
          </w:tcPr>
          <w:p w:rsidRPr="00B81A67" w:rsidR="00CA7524" w:rsidP="009D1A27" w:rsidRDefault="00CA7524" w14:paraId="3B6D8EEA" w14:textId="77777777">
            <w:pPr>
              <w:spacing w:before="60" w:after="0" w:line="240" w:lineRule="auto"/>
              <w:rPr>
                <w:rFonts w:cstheme="minorHAnsi"/>
              </w:rPr>
            </w:pPr>
          </w:p>
        </w:tc>
        <w:tc>
          <w:tcPr>
            <w:tcW w:w="1701" w:type="dxa"/>
            <w:shd w:val="clear" w:color="auto" w:fill="auto"/>
          </w:tcPr>
          <w:p w:rsidRPr="00B81A67" w:rsidR="00CA7524" w:rsidP="009D1A27" w:rsidRDefault="00CA7524" w14:paraId="75107D2C" w14:textId="77777777">
            <w:pPr>
              <w:spacing w:before="60" w:after="0" w:line="240" w:lineRule="auto"/>
              <w:rPr>
                <w:rFonts w:cstheme="minorHAnsi"/>
              </w:rPr>
            </w:pPr>
          </w:p>
        </w:tc>
        <w:tc>
          <w:tcPr>
            <w:tcW w:w="4111" w:type="dxa"/>
            <w:shd w:val="clear" w:color="auto" w:fill="auto"/>
          </w:tcPr>
          <w:p w:rsidRPr="00B81A67" w:rsidR="00CA7524" w:rsidP="009D1A27" w:rsidRDefault="00CA7524" w14:paraId="149EFCD8" w14:textId="77777777">
            <w:pPr>
              <w:spacing w:before="60" w:after="0" w:line="240" w:lineRule="auto"/>
              <w:rPr>
                <w:rFonts w:cstheme="minorHAnsi"/>
              </w:rPr>
            </w:pPr>
          </w:p>
        </w:tc>
        <w:tc>
          <w:tcPr>
            <w:tcW w:w="1984" w:type="dxa"/>
            <w:shd w:val="clear" w:color="auto" w:fill="auto"/>
          </w:tcPr>
          <w:p w:rsidRPr="00B81A67" w:rsidR="00CA7524" w:rsidP="009D1A27" w:rsidRDefault="00CA7524" w14:paraId="3256A7B0" w14:textId="77777777">
            <w:pPr>
              <w:spacing w:before="60" w:after="0" w:line="240" w:lineRule="auto"/>
              <w:rPr>
                <w:rFonts w:cstheme="minorHAnsi"/>
              </w:rPr>
            </w:pPr>
          </w:p>
        </w:tc>
      </w:tr>
    </w:tbl>
    <w:p w:rsidR="00375D79" w:rsidP="00375D79" w:rsidRDefault="00375D79" w14:paraId="214DCC04" w14:textId="77777777">
      <w:pPr>
        <w:rPr>
          <w:rFonts w:cstheme="minorHAnsi"/>
          <w:b/>
          <w:sz w:val="28"/>
          <w:szCs w:val="28"/>
        </w:rPr>
      </w:pPr>
    </w:p>
    <w:p w:rsidRPr="00144127" w:rsidR="00375D79" w:rsidP="00375D79" w:rsidRDefault="00375D79" w14:paraId="40986A81" w14:textId="77777777">
      <w:pPr>
        <w:rPr>
          <w:rFonts w:cstheme="minorHAnsi"/>
          <w:b/>
          <w:sz w:val="28"/>
          <w:szCs w:val="28"/>
        </w:rPr>
      </w:pPr>
    </w:p>
    <w:p w:rsidRPr="00BD0775" w:rsidR="00375D79" w:rsidP="00BD0775" w:rsidRDefault="00375D79" w14:paraId="323AA16B" w14:textId="77777777">
      <w:pPr>
        <w:ind w:left="426"/>
        <w:jc w:val="both"/>
        <w:rPr>
          <w:rFonts w:cstheme="minorHAnsi"/>
          <w:b/>
          <w:color w:val="538135" w:themeColor="accent6" w:themeShade="BF"/>
        </w:rPr>
      </w:pPr>
      <w:r w:rsidRPr="00BD0775">
        <w:rPr>
          <w:rFonts w:cstheme="minorHAnsi"/>
          <w:b/>
          <w:color w:val="538135" w:themeColor="accent6" w:themeShade="BF"/>
        </w:rPr>
        <w:t>Acknowledgements</w:t>
      </w:r>
    </w:p>
    <w:p w:rsidRPr="005E4BAB" w:rsidR="00375D79" w:rsidP="00375D79" w:rsidRDefault="00375D79" w14:paraId="0E4F5573" w14:textId="4F79A686">
      <w:pPr>
        <w:ind w:left="720"/>
        <w:jc w:val="both"/>
        <w:rPr>
          <w:rFonts w:cstheme="minorHAnsi"/>
          <w:bCs/>
        </w:rPr>
      </w:pPr>
      <w:r w:rsidRPr="005E4BAB">
        <w:rPr>
          <w:rFonts w:cstheme="minorHAnsi"/>
          <w:bCs/>
        </w:rPr>
        <w:t xml:space="preserve">This </w:t>
      </w:r>
      <w:r w:rsidR="0026013F">
        <w:rPr>
          <w:rFonts w:cstheme="minorHAnsi"/>
          <w:bCs/>
        </w:rPr>
        <w:t>evaluation</w:t>
      </w:r>
      <w:r w:rsidRPr="005E4BAB">
        <w:rPr>
          <w:rFonts w:cstheme="minorHAnsi"/>
          <w:bCs/>
        </w:rPr>
        <w:t xml:space="preserve"> has been undertaken by Rachel Cottam, Strategy &amp; Planning </w:t>
      </w:r>
      <w:r>
        <w:rPr>
          <w:rFonts w:cstheme="minorHAnsi"/>
          <w:bCs/>
        </w:rPr>
        <w:t>Manager</w:t>
      </w:r>
      <w:r w:rsidRPr="005E4BAB">
        <w:rPr>
          <w:rFonts w:cstheme="minorHAnsi"/>
          <w:bCs/>
        </w:rPr>
        <w:t xml:space="preserve"> and Rebecca Palmer, </w:t>
      </w:r>
      <w:r w:rsidR="0026013F">
        <w:rPr>
          <w:rFonts w:cstheme="minorHAnsi"/>
          <w:bCs/>
        </w:rPr>
        <w:t xml:space="preserve">Nurse Lead for </w:t>
      </w:r>
      <w:r w:rsidR="00D808CB">
        <w:rPr>
          <w:rFonts w:cstheme="minorHAnsi"/>
          <w:bCs/>
        </w:rPr>
        <w:t xml:space="preserve">Governance Quality Improvement, </w:t>
      </w:r>
      <w:r w:rsidRPr="005E4BAB">
        <w:rPr>
          <w:rFonts w:cstheme="minorHAnsi"/>
          <w:bCs/>
        </w:rPr>
        <w:t xml:space="preserve">South Yorkshire Regional </w:t>
      </w:r>
      <w:r w:rsidR="00D808CB">
        <w:rPr>
          <w:rFonts w:cstheme="minorHAnsi"/>
          <w:bCs/>
        </w:rPr>
        <w:t>S</w:t>
      </w:r>
      <w:r w:rsidRPr="005E4BAB">
        <w:rPr>
          <w:rFonts w:cstheme="minorHAnsi"/>
          <w:bCs/>
        </w:rPr>
        <w:t>ervices</w:t>
      </w:r>
      <w:r w:rsidR="00D808CB">
        <w:rPr>
          <w:rFonts w:cstheme="minorHAnsi"/>
          <w:bCs/>
        </w:rPr>
        <w:t xml:space="preserve">. </w:t>
      </w:r>
      <w:r w:rsidRPr="005E4BAB">
        <w:rPr>
          <w:rFonts w:cstheme="minorHAnsi"/>
          <w:bCs/>
        </w:rPr>
        <w:t xml:space="preserve">The </w:t>
      </w:r>
      <w:r w:rsidR="0026013F">
        <w:rPr>
          <w:rFonts w:cstheme="minorHAnsi"/>
          <w:bCs/>
        </w:rPr>
        <w:t>evaluation</w:t>
      </w:r>
      <w:r w:rsidRPr="005E4BAB">
        <w:rPr>
          <w:rFonts w:cstheme="minorHAnsi"/>
          <w:bCs/>
        </w:rPr>
        <w:t xml:space="preserve"> would not have been possible without the data collection support of the following individuals at Sheffield Teaching Hospitals NHS Foundation Trust:</w:t>
      </w:r>
    </w:p>
    <w:p w:rsidRPr="005E4BAB" w:rsidR="00375D79" w:rsidP="00375D79" w:rsidRDefault="00375D79" w14:paraId="148DCC82" w14:textId="77777777">
      <w:pPr>
        <w:pStyle w:val="ListParagraph"/>
        <w:numPr>
          <w:ilvl w:val="0"/>
          <w:numId w:val="9"/>
        </w:numPr>
        <w:jc w:val="both"/>
        <w:rPr>
          <w:rFonts w:asciiTheme="minorHAnsi" w:hAnsiTheme="minorHAnsi" w:cstheme="minorHAnsi"/>
          <w:bCs/>
        </w:rPr>
      </w:pPr>
      <w:r w:rsidRPr="005E4BAB">
        <w:rPr>
          <w:rFonts w:asciiTheme="minorHAnsi" w:hAnsiTheme="minorHAnsi" w:cstheme="minorHAnsi"/>
          <w:bCs/>
        </w:rPr>
        <w:t>Margaret Nderitu- Sister</w:t>
      </w:r>
    </w:p>
    <w:p w:rsidRPr="005E4BAB" w:rsidR="00375D79" w:rsidP="00375D79" w:rsidRDefault="00B97698" w14:paraId="1EEB65C1" w14:textId="15C27CD7">
      <w:pPr>
        <w:pStyle w:val="ListParagraph"/>
        <w:numPr>
          <w:ilvl w:val="0"/>
          <w:numId w:val="9"/>
        </w:numPr>
        <w:jc w:val="both"/>
        <w:rPr>
          <w:rStyle w:val="cf01"/>
          <w:rFonts w:asciiTheme="minorHAnsi" w:hAnsiTheme="minorHAnsi" w:cstheme="minorHAnsi"/>
          <w:bCs/>
          <w:color w:val="auto"/>
          <w:sz w:val="22"/>
          <w:szCs w:val="22"/>
        </w:rPr>
      </w:pPr>
      <w:r>
        <w:rPr>
          <w:rFonts w:asciiTheme="minorHAnsi" w:hAnsiTheme="minorHAnsi" w:cstheme="minorHAnsi"/>
          <w:bCs/>
        </w:rPr>
        <w:t>Kate Anderson</w:t>
      </w:r>
      <w:r w:rsidRPr="005E4BAB" w:rsidR="00375D79">
        <w:rPr>
          <w:rFonts w:asciiTheme="minorHAnsi" w:hAnsiTheme="minorHAnsi" w:cstheme="minorHAnsi"/>
          <w:bCs/>
        </w:rPr>
        <w:t xml:space="preserve">- </w:t>
      </w:r>
      <w:r w:rsidRPr="005E4BAB" w:rsidR="00375D79">
        <w:rPr>
          <w:rStyle w:val="cf01"/>
          <w:rFonts w:asciiTheme="minorHAnsi" w:hAnsiTheme="minorHAnsi" w:cstheme="minorHAnsi"/>
        </w:rPr>
        <w:t>Matron</w:t>
      </w:r>
    </w:p>
    <w:p w:rsidRPr="005E4BAB" w:rsidR="00375D79" w:rsidP="00375D79" w:rsidRDefault="00375D79" w14:paraId="47AB5E60" w14:textId="321D1570">
      <w:pPr>
        <w:pStyle w:val="ListParagraph"/>
        <w:numPr>
          <w:ilvl w:val="0"/>
          <w:numId w:val="9"/>
        </w:numPr>
        <w:jc w:val="both"/>
        <w:rPr>
          <w:rStyle w:val="cf01"/>
          <w:rFonts w:asciiTheme="minorHAnsi" w:hAnsiTheme="minorHAnsi" w:cstheme="minorHAnsi"/>
          <w:bCs/>
          <w:color w:val="auto"/>
          <w:sz w:val="22"/>
          <w:szCs w:val="22"/>
        </w:rPr>
      </w:pPr>
      <w:r w:rsidRPr="005E4BAB">
        <w:rPr>
          <w:rFonts w:asciiTheme="minorHAnsi" w:hAnsiTheme="minorHAnsi" w:cstheme="minorHAnsi"/>
          <w:bCs/>
        </w:rPr>
        <w:t>Mandy Plant-</w:t>
      </w:r>
      <w:r w:rsidRPr="005E4BAB">
        <w:rPr>
          <w:rStyle w:val="cf01"/>
          <w:rFonts w:asciiTheme="minorHAnsi" w:hAnsiTheme="minorHAnsi" w:cstheme="minorHAnsi"/>
          <w:bCs/>
          <w:color w:val="auto"/>
          <w:sz w:val="22"/>
          <w:szCs w:val="22"/>
        </w:rPr>
        <w:t xml:space="preserve"> </w:t>
      </w:r>
      <w:r w:rsidR="00600C6B">
        <w:rPr>
          <w:rStyle w:val="cf01"/>
          <w:rFonts w:asciiTheme="minorHAnsi" w:hAnsiTheme="minorHAnsi" w:cstheme="minorHAnsi"/>
        </w:rPr>
        <w:t>Matron</w:t>
      </w:r>
    </w:p>
    <w:p w:rsidRPr="005E4BAB" w:rsidR="00375D79" w:rsidP="00375D79" w:rsidRDefault="00375D79" w14:paraId="14506ABC" w14:textId="77777777">
      <w:pPr>
        <w:pStyle w:val="ListParagraph"/>
        <w:numPr>
          <w:ilvl w:val="0"/>
          <w:numId w:val="9"/>
        </w:numPr>
        <w:jc w:val="both"/>
        <w:rPr>
          <w:rFonts w:asciiTheme="minorHAnsi" w:hAnsiTheme="minorHAnsi" w:cstheme="minorHAnsi"/>
          <w:bCs/>
        </w:rPr>
      </w:pPr>
      <w:r w:rsidRPr="005E4BAB">
        <w:rPr>
          <w:rFonts w:asciiTheme="minorHAnsi" w:hAnsiTheme="minorHAnsi" w:cstheme="minorHAnsi"/>
          <w:bCs/>
        </w:rPr>
        <w:t xml:space="preserve">Claire Winters- </w:t>
      </w:r>
      <w:r w:rsidRPr="005E4BAB">
        <w:rPr>
          <w:rStyle w:val="cf01"/>
          <w:rFonts w:asciiTheme="minorHAnsi" w:hAnsiTheme="minorHAnsi" w:cstheme="minorHAnsi"/>
        </w:rPr>
        <w:t>Deputy Pharmacy Procurement &amp; Contracts Manager</w:t>
      </w:r>
    </w:p>
    <w:p w:rsidRPr="005E4BAB" w:rsidR="00375D79" w:rsidP="00375D79" w:rsidRDefault="00375D79" w14:paraId="6C1B6A50" w14:textId="77777777">
      <w:pPr>
        <w:pStyle w:val="ListParagraph"/>
        <w:numPr>
          <w:ilvl w:val="0"/>
          <w:numId w:val="9"/>
        </w:numPr>
        <w:jc w:val="both"/>
        <w:rPr>
          <w:rFonts w:asciiTheme="minorHAnsi" w:hAnsiTheme="minorHAnsi" w:cstheme="minorHAnsi"/>
          <w:bCs/>
        </w:rPr>
      </w:pPr>
      <w:r w:rsidRPr="005E4BAB">
        <w:rPr>
          <w:rFonts w:asciiTheme="minorHAnsi" w:hAnsiTheme="minorHAnsi" w:cstheme="minorHAnsi"/>
          <w:bCs/>
        </w:rPr>
        <w:t>Peter Townsend &amp; Daniel Hattersley- Estates</w:t>
      </w:r>
    </w:p>
    <w:p w:rsidRPr="005E4BAB" w:rsidR="00375D79" w:rsidP="00375D79" w:rsidRDefault="00375D79" w14:paraId="72CA6BDB" w14:textId="77777777">
      <w:pPr>
        <w:pStyle w:val="ListParagraph"/>
        <w:numPr>
          <w:ilvl w:val="0"/>
          <w:numId w:val="9"/>
        </w:numPr>
        <w:jc w:val="both"/>
        <w:rPr>
          <w:rStyle w:val="cf01"/>
          <w:rFonts w:asciiTheme="minorHAnsi" w:hAnsiTheme="minorHAnsi" w:cstheme="minorHAnsi"/>
          <w:bCs/>
          <w:color w:val="auto"/>
          <w:sz w:val="22"/>
          <w:szCs w:val="22"/>
        </w:rPr>
      </w:pPr>
      <w:r w:rsidRPr="005E4BAB">
        <w:rPr>
          <w:rFonts w:asciiTheme="minorHAnsi" w:hAnsiTheme="minorHAnsi" w:cstheme="minorHAnsi"/>
          <w:bCs/>
        </w:rPr>
        <w:t xml:space="preserve">Pez Holda- </w:t>
      </w:r>
      <w:r w:rsidRPr="005E4BAB">
        <w:rPr>
          <w:rStyle w:val="cf01"/>
          <w:rFonts w:asciiTheme="minorHAnsi" w:hAnsiTheme="minorHAnsi" w:cstheme="minorHAnsi"/>
        </w:rPr>
        <w:t>Pharmacy IT Specialist</w:t>
      </w:r>
    </w:p>
    <w:p w:rsidRPr="005E4BAB" w:rsidR="00375D79" w:rsidP="00375D79" w:rsidRDefault="00375D79" w14:paraId="5A98A6DE" w14:textId="77777777">
      <w:pPr>
        <w:pStyle w:val="ListParagraph"/>
        <w:numPr>
          <w:ilvl w:val="0"/>
          <w:numId w:val="9"/>
        </w:numPr>
        <w:jc w:val="both"/>
        <w:rPr>
          <w:rStyle w:val="cf01"/>
          <w:rFonts w:asciiTheme="minorHAnsi" w:hAnsiTheme="minorHAnsi" w:cstheme="minorHAnsi"/>
          <w:bCs/>
          <w:color w:val="auto"/>
          <w:sz w:val="22"/>
          <w:szCs w:val="22"/>
        </w:rPr>
      </w:pPr>
      <w:r w:rsidRPr="005E4BAB">
        <w:rPr>
          <w:rFonts w:asciiTheme="minorHAnsi" w:hAnsiTheme="minorHAnsi" w:cstheme="minorHAnsi"/>
          <w:bCs/>
        </w:rPr>
        <w:t xml:space="preserve">Maria Mahon- </w:t>
      </w:r>
      <w:r w:rsidRPr="005E4BAB">
        <w:rPr>
          <w:rStyle w:val="cf01"/>
          <w:rFonts w:asciiTheme="minorHAnsi" w:hAnsiTheme="minorHAnsi" w:cstheme="minorHAnsi"/>
        </w:rPr>
        <w:t>Waste Manager/Facilities Health and Safety Lead</w:t>
      </w:r>
    </w:p>
    <w:p w:rsidRPr="000772A0" w:rsidR="007B59C5" w:rsidP="00375D79" w:rsidRDefault="00375D79" w14:paraId="4B706B74" w14:textId="5E91062A">
      <w:pPr>
        <w:pStyle w:val="ListParagraph"/>
        <w:numPr>
          <w:ilvl w:val="0"/>
          <w:numId w:val="9"/>
        </w:numPr>
        <w:jc w:val="both"/>
        <w:rPr>
          <w:rFonts w:asciiTheme="minorHAnsi" w:hAnsiTheme="minorHAnsi" w:cstheme="minorHAnsi"/>
          <w:bCs/>
        </w:rPr>
      </w:pPr>
      <w:r w:rsidRPr="7AD30D66" w:rsidR="00375D79">
        <w:rPr>
          <w:rFonts w:ascii="Calibri" w:hAnsi="Calibri" w:cs="Calibri" w:asciiTheme="minorAscii" w:hAnsiTheme="minorAscii" w:cstheme="minorAscii"/>
        </w:rPr>
        <w:t xml:space="preserve">Ben Croft- </w:t>
      </w:r>
      <w:r w:rsidRPr="7AD30D66" w:rsidR="00375D79">
        <w:rPr>
          <w:rStyle w:val="cf01"/>
          <w:rFonts w:ascii="Calibri" w:hAnsi="Calibri" w:cs="Calibri" w:asciiTheme="minorAscii" w:hAnsiTheme="minorAscii" w:cstheme="minorAscii"/>
        </w:rPr>
        <w:t>Assistant Procurement Analyst</w:t>
      </w:r>
    </w:p>
    <w:p w:rsidR="7AD30D66" w:rsidP="7AD30D66" w:rsidRDefault="7AD30D66" w14:paraId="22F87102" w14:textId="1CA53888">
      <w:pPr>
        <w:pStyle w:val="ListParagraph"/>
        <w:ind w:left="1080"/>
        <w:jc w:val="both"/>
        <w:rPr>
          <w:rFonts w:ascii="Calibri" w:hAnsi="Calibri" w:cs="Calibri" w:asciiTheme="minorAscii" w:hAnsiTheme="minorAscii" w:cstheme="minorAscii"/>
        </w:rPr>
      </w:pPr>
    </w:p>
    <w:p w:rsidR="00AE3914" w:rsidP="00BD0775" w:rsidRDefault="00512025" w14:paraId="4CC70332" w14:textId="6CF59E73">
      <w:pPr>
        <w:jc w:val="center"/>
        <w:rPr>
          <w:rFonts w:cstheme="minorHAnsi"/>
          <w:b/>
          <w:color w:val="538135" w:themeColor="accent6" w:themeShade="BF"/>
          <w:sz w:val="40"/>
          <w:szCs w:val="40"/>
        </w:rPr>
      </w:pPr>
      <w:r w:rsidRPr="00BD0775">
        <w:rPr>
          <w:rFonts w:cstheme="minorHAnsi"/>
          <w:b/>
          <w:color w:val="538135" w:themeColor="accent6" w:themeShade="BF"/>
          <w:sz w:val="40"/>
          <w:szCs w:val="40"/>
        </w:rPr>
        <w:lastRenderedPageBreak/>
        <w:t>Contents</w:t>
      </w:r>
    </w:p>
    <w:p w:rsidRPr="00A12EA2" w:rsidR="00BD0775" w:rsidP="00BD0775" w:rsidRDefault="00BD0775" w14:paraId="0B9385B7" w14:textId="77777777">
      <w:pPr>
        <w:jc w:val="center"/>
        <w:rPr>
          <w:rFonts w:cstheme="minorHAnsi"/>
          <w:b/>
          <w:sz w:val="28"/>
          <w:szCs w:val="28"/>
        </w:rPr>
      </w:pPr>
    </w:p>
    <w:p w:rsidRPr="00AE4CE2" w:rsidR="002E5623" w:rsidP="00612FEC" w:rsidRDefault="002E5623" w14:paraId="039546C3" w14:textId="51459AAC">
      <w:pPr>
        <w:pStyle w:val="ListParagraph"/>
        <w:numPr>
          <w:ilvl w:val="0"/>
          <w:numId w:val="22"/>
        </w:numPr>
        <w:rPr>
          <w:rFonts w:cstheme="minorHAnsi"/>
          <w:bCs/>
          <w:sz w:val="24"/>
          <w:szCs w:val="24"/>
        </w:rPr>
      </w:pPr>
      <w:r w:rsidRPr="00AE4CE2">
        <w:rPr>
          <w:rFonts w:cstheme="minorHAnsi"/>
          <w:bCs/>
          <w:sz w:val="24"/>
          <w:szCs w:val="24"/>
        </w:rPr>
        <w:t>Executive summary</w:t>
      </w:r>
    </w:p>
    <w:p w:rsidRPr="00AE4CE2" w:rsidR="00612FEC" w:rsidP="00612FEC" w:rsidRDefault="008F2748" w14:paraId="4F68E324" w14:textId="72AD4F64">
      <w:pPr>
        <w:pStyle w:val="ListParagraph"/>
        <w:numPr>
          <w:ilvl w:val="0"/>
          <w:numId w:val="22"/>
        </w:numPr>
        <w:rPr>
          <w:rFonts w:cstheme="minorHAnsi"/>
          <w:bCs/>
          <w:sz w:val="24"/>
          <w:szCs w:val="24"/>
        </w:rPr>
      </w:pPr>
      <w:r w:rsidRPr="00AE4CE2">
        <w:rPr>
          <w:rFonts w:cstheme="minorHAnsi"/>
          <w:bCs/>
          <w:sz w:val="24"/>
          <w:szCs w:val="24"/>
        </w:rPr>
        <w:t xml:space="preserve">In-Centre Haemodialysis Care Pathway </w:t>
      </w:r>
      <w:r w:rsidR="003C0748">
        <w:rPr>
          <w:rFonts w:cstheme="minorHAnsi"/>
          <w:bCs/>
          <w:sz w:val="24"/>
          <w:szCs w:val="24"/>
        </w:rPr>
        <w:t>Evaluation</w:t>
      </w:r>
      <w:r w:rsidRPr="00AE4CE2">
        <w:rPr>
          <w:rFonts w:cstheme="minorHAnsi"/>
          <w:bCs/>
          <w:sz w:val="24"/>
          <w:szCs w:val="24"/>
        </w:rPr>
        <w:t xml:space="preserve"> and Carbon impact report</w:t>
      </w:r>
    </w:p>
    <w:p w:rsidRPr="00AE4CE2" w:rsidR="00321606" w:rsidP="00321606" w:rsidRDefault="00321606" w14:paraId="055E83D4" w14:textId="5617CF85">
      <w:pPr>
        <w:pStyle w:val="ListParagraph"/>
        <w:numPr>
          <w:ilvl w:val="1"/>
          <w:numId w:val="23"/>
        </w:numPr>
        <w:rPr>
          <w:rFonts w:cstheme="minorHAnsi"/>
          <w:bCs/>
          <w:sz w:val="24"/>
          <w:szCs w:val="24"/>
        </w:rPr>
      </w:pPr>
      <w:r w:rsidRPr="00AE4CE2">
        <w:rPr>
          <w:rFonts w:cstheme="minorHAnsi"/>
          <w:bCs/>
          <w:sz w:val="24"/>
          <w:szCs w:val="24"/>
        </w:rPr>
        <w:t xml:space="preserve">– </w:t>
      </w:r>
      <w:r w:rsidRPr="00AE4CE2" w:rsidR="008F2748">
        <w:rPr>
          <w:rFonts w:cstheme="minorHAnsi"/>
          <w:bCs/>
          <w:sz w:val="24"/>
          <w:szCs w:val="24"/>
        </w:rPr>
        <w:t>Introduction</w:t>
      </w:r>
    </w:p>
    <w:p w:rsidR="00321606" w:rsidP="00321606" w:rsidRDefault="00DD6C95" w14:paraId="71441E4C" w14:textId="1367A977">
      <w:pPr>
        <w:pStyle w:val="ListParagraph"/>
        <w:numPr>
          <w:ilvl w:val="1"/>
          <w:numId w:val="23"/>
        </w:numPr>
        <w:rPr>
          <w:rFonts w:cstheme="minorHAnsi"/>
          <w:bCs/>
          <w:sz w:val="24"/>
          <w:szCs w:val="24"/>
        </w:rPr>
      </w:pPr>
      <w:r w:rsidRPr="00AE4CE2">
        <w:rPr>
          <w:rFonts w:cstheme="minorHAnsi"/>
          <w:bCs/>
          <w:sz w:val="24"/>
          <w:szCs w:val="24"/>
        </w:rPr>
        <w:t>–</w:t>
      </w:r>
      <w:r w:rsidRPr="00AE4CE2" w:rsidR="00321606">
        <w:rPr>
          <w:rFonts w:cstheme="minorHAnsi"/>
          <w:bCs/>
          <w:sz w:val="24"/>
          <w:szCs w:val="24"/>
        </w:rPr>
        <w:t xml:space="preserve"> Descrip</w:t>
      </w:r>
      <w:r w:rsidRPr="00AE4CE2" w:rsidR="009E58C5">
        <w:rPr>
          <w:rFonts w:cstheme="minorHAnsi"/>
          <w:bCs/>
          <w:sz w:val="24"/>
          <w:szCs w:val="24"/>
        </w:rPr>
        <w:t>tion</w:t>
      </w:r>
      <w:r w:rsidRPr="00AE4CE2">
        <w:rPr>
          <w:rFonts w:cstheme="minorHAnsi"/>
          <w:bCs/>
          <w:sz w:val="24"/>
          <w:szCs w:val="24"/>
        </w:rPr>
        <w:t xml:space="preserve"> of the patient</w:t>
      </w:r>
    </w:p>
    <w:p w:rsidRPr="008209C7" w:rsidR="00DD6C95" w:rsidP="008209C7" w:rsidRDefault="008209C7" w14:paraId="58672CA0" w14:textId="11894F3E">
      <w:pPr>
        <w:pStyle w:val="ListParagraph"/>
        <w:numPr>
          <w:ilvl w:val="1"/>
          <w:numId w:val="23"/>
        </w:numPr>
        <w:rPr>
          <w:rFonts w:cstheme="minorHAnsi"/>
          <w:bCs/>
          <w:sz w:val="24"/>
          <w:szCs w:val="24"/>
        </w:rPr>
      </w:pPr>
      <w:r w:rsidRPr="00AE4CE2">
        <w:rPr>
          <w:rFonts w:cstheme="minorHAnsi"/>
          <w:bCs/>
          <w:sz w:val="24"/>
          <w:szCs w:val="24"/>
        </w:rPr>
        <w:t>–</w:t>
      </w:r>
      <w:r w:rsidR="007D2A5D">
        <w:rPr>
          <w:rFonts w:cstheme="minorHAnsi"/>
          <w:bCs/>
          <w:sz w:val="24"/>
          <w:szCs w:val="24"/>
        </w:rPr>
        <w:t xml:space="preserve"> </w:t>
      </w:r>
      <w:r w:rsidRPr="008209C7" w:rsidR="00654AFB">
        <w:rPr>
          <w:rFonts w:cstheme="minorHAnsi"/>
          <w:bCs/>
          <w:sz w:val="24"/>
          <w:szCs w:val="24"/>
        </w:rPr>
        <w:t>I</w:t>
      </w:r>
      <w:r w:rsidRPr="008209C7" w:rsidR="00DD6C95">
        <w:rPr>
          <w:rFonts w:cstheme="minorHAnsi"/>
          <w:bCs/>
          <w:sz w:val="24"/>
          <w:szCs w:val="24"/>
        </w:rPr>
        <w:t>mpacts appraised</w:t>
      </w:r>
    </w:p>
    <w:p w:rsidRPr="00AE4CE2" w:rsidR="00654AFB" w:rsidP="00321606" w:rsidRDefault="007D2A5D" w14:paraId="55E449EF" w14:textId="20EF520B">
      <w:pPr>
        <w:pStyle w:val="ListParagraph"/>
        <w:numPr>
          <w:ilvl w:val="1"/>
          <w:numId w:val="23"/>
        </w:numPr>
        <w:rPr>
          <w:rFonts w:cstheme="minorHAnsi"/>
          <w:bCs/>
          <w:sz w:val="24"/>
          <w:szCs w:val="24"/>
        </w:rPr>
      </w:pPr>
      <w:r w:rsidRPr="00AE4CE2">
        <w:rPr>
          <w:rFonts w:cstheme="minorHAnsi"/>
          <w:bCs/>
          <w:sz w:val="24"/>
          <w:szCs w:val="24"/>
        </w:rPr>
        <w:t>–</w:t>
      </w:r>
      <w:r>
        <w:rPr>
          <w:rFonts w:cstheme="minorHAnsi"/>
          <w:bCs/>
          <w:sz w:val="24"/>
          <w:szCs w:val="24"/>
        </w:rPr>
        <w:t xml:space="preserve"> </w:t>
      </w:r>
      <w:r w:rsidRPr="00AE4CE2" w:rsidR="00654AFB">
        <w:rPr>
          <w:rFonts w:cstheme="minorHAnsi"/>
          <w:bCs/>
          <w:sz w:val="24"/>
          <w:szCs w:val="24"/>
        </w:rPr>
        <w:t>Units of analysis</w:t>
      </w:r>
    </w:p>
    <w:p w:rsidRPr="00AE4CE2" w:rsidR="0005184C" w:rsidP="00321606" w:rsidRDefault="0005184C" w14:paraId="00F15DCD" w14:textId="26B5FD6C">
      <w:pPr>
        <w:pStyle w:val="ListParagraph"/>
        <w:numPr>
          <w:ilvl w:val="1"/>
          <w:numId w:val="23"/>
        </w:numPr>
        <w:rPr>
          <w:rFonts w:cstheme="minorHAnsi"/>
          <w:bCs/>
          <w:sz w:val="24"/>
          <w:szCs w:val="24"/>
        </w:rPr>
      </w:pPr>
      <w:r w:rsidRPr="00AE4CE2">
        <w:rPr>
          <w:rFonts w:cstheme="minorHAnsi"/>
          <w:bCs/>
          <w:sz w:val="24"/>
          <w:szCs w:val="24"/>
        </w:rPr>
        <w:t>– Exclusions and limitations</w:t>
      </w:r>
    </w:p>
    <w:p w:rsidRPr="00AE4CE2" w:rsidR="0005184C" w:rsidP="0005184C" w:rsidRDefault="0005184C" w14:paraId="4D885C51" w14:textId="058572FD">
      <w:pPr>
        <w:pStyle w:val="ListParagraph"/>
        <w:numPr>
          <w:ilvl w:val="0"/>
          <w:numId w:val="22"/>
        </w:numPr>
        <w:rPr>
          <w:rFonts w:cstheme="minorHAnsi"/>
          <w:bCs/>
          <w:sz w:val="24"/>
          <w:szCs w:val="24"/>
        </w:rPr>
      </w:pPr>
      <w:r w:rsidRPr="00AE4CE2">
        <w:rPr>
          <w:rFonts w:cstheme="minorHAnsi"/>
          <w:bCs/>
          <w:sz w:val="24"/>
          <w:szCs w:val="24"/>
        </w:rPr>
        <w:t>Data</w:t>
      </w:r>
      <w:r w:rsidR="00C453F9">
        <w:rPr>
          <w:rFonts w:cstheme="minorHAnsi"/>
          <w:bCs/>
          <w:sz w:val="24"/>
          <w:szCs w:val="24"/>
        </w:rPr>
        <w:t xml:space="preserve"> and Analysis</w:t>
      </w:r>
    </w:p>
    <w:p w:rsidRPr="00AE4CE2" w:rsidR="0005184C" w:rsidP="00FF5108" w:rsidRDefault="001133CB" w14:paraId="4FD87CDC" w14:textId="3615BEA1">
      <w:pPr>
        <w:pStyle w:val="ListParagraph"/>
        <w:numPr>
          <w:ilvl w:val="1"/>
          <w:numId w:val="24"/>
        </w:numPr>
        <w:rPr>
          <w:rFonts w:cstheme="minorHAnsi"/>
          <w:bCs/>
          <w:sz w:val="24"/>
          <w:szCs w:val="24"/>
        </w:rPr>
      </w:pPr>
      <w:r w:rsidRPr="00AE4CE2">
        <w:rPr>
          <w:rFonts w:cstheme="minorHAnsi"/>
          <w:bCs/>
          <w:sz w:val="24"/>
          <w:szCs w:val="24"/>
        </w:rPr>
        <w:t>Overview</w:t>
      </w:r>
    </w:p>
    <w:p w:rsidRPr="00AE4CE2" w:rsidR="001133CB" w:rsidP="00FF5108" w:rsidRDefault="001133CB" w14:paraId="37F16B3C" w14:textId="15BD8250">
      <w:pPr>
        <w:pStyle w:val="ListParagraph"/>
        <w:numPr>
          <w:ilvl w:val="1"/>
          <w:numId w:val="24"/>
        </w:numPr>
        <w:rPr>
          <w:rFonts w:cstheme="minorHAnsi"/>
          <w:bCs/>
          <w:sz w:val="24"/>
          <w:szCs w:val="24"/>
        </w:rPr>
      </w:pPr>
      <w:r w:rsidRPr="00AE4CE2">
        <w:rPr>
          <w:rFonts w:cstheme="minorHAnsi"/>
          <w:bCs/>
          <w:sz w:val="24"/>
          <w:szCs w:val="24"/>
        </w:rPr>
        <w:t>Patient travel</w:t>
      </w:r>
    </w:p>
    <w:p w:rsidRPr="00AE4CE2" w:rsidR="001133CB" w:rsidP="00FF5108" w:rsidRDefault="001133CB" w14:paraId="1837A833" w14:textId="1030D141">
      <w:pPr>
        <w:pStyle w:val="ListParagraph"/>
        <w:numPr>
          <w:ilvl w:val="1"/>
          <w:numId w:val="24"/>
        </w:numPr>
        <w:rPr>
          <w:rFonts w:cstheme="minorHAnsi"/>
          <w:bCs/>
          <w:sz w:val="24"/>
          <w:szCs w:val="24"/>
        </w:rPr>
      </w:pPr>
      <w:r w:rsidRPr="00AE4CE2">
        <w:rPr>
          <w:rFonts w:cstheme="minorHAnsi"/>
          <w:bCs/>
          <w:sz w:val="24"/>
          <w:szCs w:val="24"/>
        </w:rPr>
        <w:t>Staff travel</w:t>
      </w:r>
    </w:p>
    <w:p w:rsidRPr="00AE4CE2" w:rsidR="001133CB" w:rsidP="00FF5108" w:rsidRDefault="001E55C2" w14:paraId="77732074" w14:textId="08294BFA">
      <w:pPr>
        <w:pStyle w:val="ListParagraph"/>
        <w:numPr>
          <w:ilvl w:val="1"/>
          <w:numId w:val="24"/>
        </w:numPr>
        <w:rPr>
          <w:rFonts w:cstheme="minorHAnsi"/>
          <w:bCs/>
          <w:sz w:val="24"/>
          <w:szCs w:val="24"/>
        </w:rPr>
      </w:pPr>
      <w:r w:rsidRPr="00AE4CE2">
        <w:rPr>
          <w:rFonts w:cstheme="minorHAnsi"/>
          <w:bCs/>
          <w:sz w:val="24"/>
          <w:szCs w:val="24"/>
        </w:rPr>
        <w:t>Pharmaceuticals</w:t>
      </w:r>
    </w:p>
    <w:p w:rsidRPr="00AE4CE2" w:rsidR="001133CB" w:rsidP="00FF5108" w:rsidRDefault="001E55C2" w14:paraId="7D810E7E" w14:textId="6BE9C673">
      <w:pPr>
        <w:pStyle w:val="ListParagraph"/>
        <w:numPr>
          <w:ilvl w:val="1"/>
          <w:numId w:val="24"/>
        </w:numPr>
        <w:rPr>
          <w:rFonts w:cstheme="minorHAnsi"/>
          <w:bCs/>
          <w:sz w:val="24"/>
          <w:szCs w:val="24"/>
        </w:rPr>
      </w:pPr>
      <w:r w:rsidRPr="00AE4CE2">
        <w:rPr>
          <w:rFonts w:cstheme="minorHAnsi"/>
          <w:bCs/>
          <w:sz w:val="24"/>
          <w:szCs w:val="24"/>
        </w:rPr>
        <w:t>Consumables</w:t>
      </w:r>
    </w:p>
    <w:p w:rsidRPr="00AE4CE2" w:rsidR="00FF2ED6" w:rsidP="00FF5108" w:rsidRDefault="00FF2ED6" w14:paraId="5FA2F473" w14:textId="36DB256C">
      <w:pPr>
        <w:pStyle w:val="ListParagraph"/>
        <w:numPr>
          <w:ilvl w:val="1"/>
          <w:numId w:val="24"/>
        </w:numPr>
        <w:rPr>
          <w:rFonts w:cstheme="minorHAnsi"/>
          <w:bCs/>
          <w:sz w:val="24"/>
          <w:szCs w:val="24"/>
        </w:rPr>
      </w:pPr>
      <w:r w:rsidRPr="00AE4CE2">
        <w:rPr>
          <w:rFonts w:cstheme="minorHAnsi"/>
          <w:bCs/>
          <w:sz w:val="24"/>
          <w:szCs w:val="24"/>
        </w:rPr>
        <w:t>Equipment</w:t>
      </w:r>
    </w:p>
    <w:p w:rsidRPr="00AE4CE2" w:rsidR="00FF2ED6" w:rsidP="00FF5108" w:rsidRDefault="00FF2ED6" w14:paraId="381CE190" w14:textId="5F0DC231">
      <w:pPr>
        <w:pStyle w:val="ListParagraph"/>
        <w:numPr>
          <w:ilvl w:val="1"/>
          <w:numId w:val="24"/>
        </w:numPr>
        <w:rPr>
          <w:rFonts w:cstheme="minorHAnsi"/>
          <w:bCs/>
          <w:sz w:val="24"/>
          <w:szCs w:val="24"/>
        </w:rPr>
      </w:pPr>
      <w:r w:rsidRPr="00AE4CE2">
        <w:rPr>
          <w:rFonts w:cstheme="minorHAnsi"/>
          <w:bCs/>
          <w:sz w:val="24"/>
          <w:szCs w:val="24"/>
        </w:rPr>
        <w:t>Utilities &amp; Energy</w:t>
      </w:r>
    </w:p>
    <w:p w:rsidRPr="00AE4CE2" w:rsidR="00FF2ED6" w:rsidP="00FF5108" w:rsidRDefault="00FF2ED6" w14:paraId="7C99D847" w14:textId="74257B71">
      <w:pPr>
        <w:pStyle w:val="ListParagraph"/>
        <w:numPr>
          <w:ilvl w:val="1"/>
          <w:numId w:val="24"/>
        </w:numPr>
        <w:rPr>
          <w:rFonts w:cstheme="minorHAnsi"/>
          <w:bCs/>
          <w:sz w:val="24"/>
          <w:szCs w:val="24"/>
        </w:rPr>
      </w:pPr>
      <w:r w:rsidRPr="00AE4CE2">
        <w:rPr>
          <w:rFonts w:cstheme="minorHAnsi"/>
          <w:bCs/>
          <w:sz w:val="24"/>
          <w:szCs w:val="24"/>
        </w:rPr>
        <w:t xml:space="preserve">Waste </w:t>
      </w:r>
    </w:p>
    <w:p w:rsidRPr="006C1541" w:rsidR="006C1541" w:rsidP="006C1541" w:rsidRDefault="00FF2ED6" w14:paraId="12D314D4" w14:textId="30B763DC">
      <w:pPr>
        <w:pStyle w:val="ListParagraph"/>
        <w:numPr>
          <w:ilvl w:val="1"/>
          <w:numId w:val="24"/>
        </w:numPr>
        <w:rPr>
          <w:rFonts w:cstheme="minorHAnsi"/>
          <w:bCs/>
          <w:sz w:val="24"/>
          <w:szCs w:val="24"/>
        </w:rPr>
      </w:pPr>
      <w:r w:rsidRPr="00AE4CE2">
        <w:rPr>
          <w:rFonts w:cstheme="minorHAnsi"/>
          <w:bCs/>
          <w:sz w:val="24"/>
          <w:szCs w:val="24"/>
        </w:rPr>
        <w:t>Water</w:t>
      </w:r>
    </w:p>
    <w:p w:rsidRPr="00AE4CE2" w:rsidR="006C1541" w:rsidP="006C1541" w:rsidRDefault="006C1541" w14:paraId="32BD9A72" w14:textId="77777777">
      <w:pPr>
        <w:pStyle w:val="ListParagraph"/>
        <w:numPr>
          <w:ilvl w:val="0"/>
          <w:numId w:val="22"/>
        </w:numPr>
        <w:rPr>
          <w:rFonts w:cstheme="minorHAnsi"/>
          <w:bCs/>
          <w:sz w:val="24"/>
          <w:szCs w:val="24"/>
        </w:rPr>
      </w:pPr>
      <w:r>
        <w:rPr>
          <w:rFonts w:cstheme="minorHAnsi"/>
          <w:bCs/>
          <w:sz w:val="24"/>
          <w:szCs w:val="24"/>
        </w:rPr>
        <w:t>Comparison with Newcastle upon Tyne</w:t>
      </w:r>
    </w:p>
    <w:p w:rsidR="000B6192" w:rsidP="001E5DB7" w:rsidRDefault="000B6192" w14:paraId="5AC5B4FA" w14:textId="7C38AE2F">
      <w:pPr>
        <w:pStyle w:val="ListParagraph"/>
        <w:numPr>
          <w:ilvl w:val="0"/>
          <w:numId w:val="22"/>
        </w:numPr>
        <w:rPr>
          <w:rFonts w:cstheme="minorHAnsi"/>
          <w:bCs/>
          <w:sz w:val="24"/>
          <w:szCs w:val="24"/>
        </w:rPr>
      </w:pPr>
      <w:r w:rsidRPr="00AE4CE2">
        <w:rPr>
          <w:rFonts w:cstheme="minorHAnsi"/>
          <w:bCs/>
          <w:sz w:val="24"/>
          <w:szCs w:val="24"/>
        </w:rPr>
        <w:t>Conclusion</w:t>
      </w:r>
    </w:p>
    <w:p w:rsidRPr="00AE4CE2" w:rsidR="000B6192" w:rsidP="001E5DB7" w:rsidRDefault="000B6192" w14:paraId="1C4EA5AF" w14:textId="61F2BC36">
      <w:pPr>
        <w:pStyle w:val="ListParagraph"/>
        <w:numPr>
          <w:ilvl w:val="0"/>
          <w:numId w:val="22"/>
        </w:numPr>
        <w:rPr>
          <w:rFonts w:cstheme="minorHAnsi"/>
          <w:bCs/>
          <w:sz w:val="24"/>
          <w:szCs w:val="24"/>
        </w:rPr>
      </w:pPr>
      <w:r w:rsidRPr="00AE4CE2">
        <w:rPr>
          <w:rFonts w:cstheme="minorHAnsi"/>
          <w:bCs/>
          <w:sz w:val="24"/>
          <w:szCs w:val="24"/>
        </w:rPr>
        <w:t>Recommendations and improvements</w:t>
      </w:r>
    </w:p>
    <w:p w:rsidR="000B6192" w:rsidP="001E5DB7" w:rsidRDefault="000B6192" w14:paraId="71BE56AF" w14:textId="27B65F0C">
      <w:pPr>
        <w:pStyle w:val="ListParagraph"/>
        <w:numPr>
          <w:ilvl w:val="0"/>
          <w:numId w:val="22"/>
        </w:numPr>
        <w:rPr>
          <w:rFonts w:cstheme="minorHAnsi"/>
          <w:bCs/>
          <w:sz w:val="24"/>
          <w:szCs w:val="24"/>
        </w:rPr>
      </w:pPr>
      <w:r w:rsidRPr="00AE4CE2">
        <w:rPr>
          <w:rFonts w:cstheme="minorHAnsi"/>
          <w:bCs/>
          <w:sz w:val="24"/>
          <w:szCs w:val="24"/>
        </w:rPr>
        <w:t>Action plan</w:t>
      </w:r>
    </w:p>
    <w:p w:rsidRPr="00AE4CE2" w:rsidR="00390A97" w:rsidP="001E5DB7" w:rsidRDefault="00390A97" w14:paraId="2EE57107" w14:textId="4F5B98CE">
      <w:pPr>
        <w:pStyle w:val="ListParagraph"/>
        <w:numPr>
          <w:ilvl w:val="0"/>
          <w:numId w:val="22"/>
        </w:numPr>
        <w:rPr>
          <w:rFonts w:cstheme="minorHAnsi"/>
          <w:bCs/>
          <w:sz w:val="24"/>
          <w:szCs w:val="24"/>
        </w:rPr>
      </w:pPr>
      <w:r>
        <w:rPr>
          <w:rFonts w:cstheme="minorHAnsi"/>
          <w:bCs/>
          <w:sz w:val="24"/>
          <w:szCs w:val="24"/>
        </w:rPr>
        <w:t>Project infographic</w:t>
      </w:r>
    </w:p>
    <w:p w:rsidRPr="00AE4CE2" w:rsidR="00FF2ED6" w:rsidP="001E55C2" w:rsidRDefault="00FF2ED6" w14:paraId="2844EF01" w14:textId="77777777">
      <w:pPr>
        <w:pStyle w:val="ListParagraph"/>
        <w:ind w:left="1800"/>
        <w:rPr>
          <w:rFonts w:cstheme="minorHAnsi"/>
          <w:bCs/>
          <w:sz w:val="24"/>
          <w:szCs w:val="24"/>
        </w:rPr>
      </w:pPr>
    </w:p>
    <w:p w:rsidRPr="00A12EA2" w:rsidR="002E5623" w:rsidP="00512025" w:rsidRDefault="002E5623" w14:paraId="0D58DA02" w14:textId="77777777">
      <w:pPr>
        <w:ind w:left="360"/>
        <w:rPr>
          <w:rFonts w:cstheme="minorHAnsi"/>
          <w:bCs/>
          <w:sz w:val="28"/>
          <w:szCs w:val="28"/>
        </w:rPr>
      </w:pPr>
    </w:p>
    <w:p w:rsidRPr="00A12EA2" w:rsidR="00CD2843" w:rsidP="00512025" w:rsidRDefault="00CD2843" w14:paraId="71262E18" w14:textId="77777777">
      <w:pPr>
        <w:ind w:left="360"/>
        <w:rPr>
          <w:rFonts w:cstheme="minorHAnsi"/>
          <w:bCs/>
          <w:sz w:val="28"/>
          <w:szCs w:val="28"/>
        </w:rPr>
      </w:pPr>
    </w:p>
    <w:p w:rsidRPr="000772A0" w:rsidR="00CD2843" w:rsidP="00512025" w:rsidRDefault="00CD2843" w14:paraId="3D61A062" w14:textId="77777777">
      <w:pPr>
        <w:ind w:left="360"/>
        <w:rPr>
          <w:rFonts w:cstheme="minorHAnsi"/>
          <w:bCs/>
          <w:sz w:val="28"/>
          <w:szCs w:val="28"/>
        </w:rPr>
      </w:pPr>
    </w:p>
    <w:p w:rsidR="00CD2843" w:rsidP="00512025" w:rsidRDefault="00CD2843" w14:paraId="2C6F65ED" w14:textId="77777777">
      <w:pPr>
        <w:ind w:left="360"/>
        <w:rPr>
          <w:rFonts w:cstheme="minorHAnsi"/>
          <w:b/>
          <w:sz w:val="28"/>
          <w:szCs w:val="28"/>
        </w:rPr>
      </w:pPr>
    </w:p>
    <w:p w:rsidR="002E5623" w:rsidP="00A12EA2" w:rsidRDefault="002E5623" w14:paraId="1FF8F358" w14:textId="77777777">
      <w:pPr>
        <w:jc w:val="both"/>
        <w:rPr>
          <w:rFonts w:cstheme="minorHAnsi"/>
          <w:b/>
          <w:sz w:val="28"/>
          <w:szCs w:val="28"/>
        </w:rPr>
      </w:pPr>
    </w:p>
    <w:p w:rsidR="00AE4CE2" w:rsidP="00A12EA2" w:rsidRDefault="00AE4CE2" w14:paraId="75C31237" w14:textId="77777777">
      <w:pPr>
        <w:jc w:val="both"/>
        <w:rPr>
          <w:rFonts w:cstheme="minorHAnsi"/>
          <w:b/>
          <w:sz w:val="28"/>
          <w:szCs w:val="28"/>
        </w:rPr>
      </w:pPr>
    </w:p>
    <w:p w:rsidR="00AE4CE2" w:rsidP="00A12EA2" w:rsidRDefault="00AE4CE2" w14:paraId="45DF358F" w14:textId="77777777">
      <w:pPr>
        <w:jc w:val="both"/>
        <w:rPr>
          <w:rFonts w:cstheme="minorHAnsi"/>
          <w:b/>
          <w:sz w:val="28"/>
          <w:szCs w:val="28"/>
        </w:rPr>
      </w:pPr>
    </w:p>
    <w:p w:rsidR="00AE4CE2" w:rsidP="00A12EA2" w:rsidRDefault="00AE4CE2" w14:paraId="3EFA9A03" w14:textId="77777777">
      <w:pPr>
        <w:jc w:val="both"/>
        <w:rPr>
          <w:rFonts w:cstheme="minorHAnsi"/>
          <w:b/>
          <w:sz w:val="28"/>
          <w:szCs w:val="28"/>
        </w:rPr>
      </w:pPr>
    </w:p>
    <w:p w:rsidRPr="00A12EA2" w:rsidR="00A12EA2" w:rsidP="00A12EA2" w:rsidRDefault="00A12EA2" w14:paraId="35AF0060" w14:textId="77777777">
      <w:pPr>
        <w:jc w:val="both"/>
        <w:rPr>
          <w:rFonts w:cstheme="minorHAnsi"/>
          <w:bCs/>
        </w:rPr>
      </w:pPr>
    </w:p>
    <w:p w:rsidRPr="005E4BAB" w:rsidR="002E5623" w:rsidP="002E5623" w:rsidRDefault="002E5623" w14:paraId="003D1042" w14:textId="77777777">
      <w:pPr>
        <w:pStyle w:val="ListParagraph"/>
        <w:ind w:left="1080"/>
        <w:jc w:val="both"/>
        <w:rPr>
          <w:rFonts w:asciiTheme="minorHAnsi" w:hAnsiTheme="minorHAnsi" w:cstheme="minorHAnsi"/>
          <w:bCs/>
        </w:rPr>
      </w:pPr>
    </w:p>
    <w:p w:rsidRPr="00466076" w:rsidR="00466076" w:rsidP="00466076" w:rsidRDefault="00AE13DA" w14:paraId="700E54C7" w14:textId="7BD03ED5">
      <w:pPr>
        <w:ind w:firstLine="360"/>
        <w:jc w:val="center"/>
        <w:rPr>
          <w:rFonts w:cstheme="minorHAnsi"/>
          <w:b/>
          <w:color w:val="538135" w:themeColor="accent6" w:themeShade="BF"/>
          <w:sz w:val="40"/>
          <w:szCs w:val="40"/>
        </w:rPr>
      </w:pPr>
      <w:r w:rsidRPr="00466076">
        <w:rPr>
          <w:rFonts w:cstheme="minorHAnsi"/>
          <w:b/>
          <w:color w:val="538135" w:themeColor="accent6" w:themeShade="BF"/>
          <w:sz w:val="40"/>
          <w:szCs w:val="40"/>
        </w:rPr>
        <w:lastRenderedPageBreak/>
        <w:t>Executive summary</w:t>
      </w:r>
    </w:p>
    <w:p w:rsidRPr="00144127" w:rsidR="00E62A29" w:rsidP="00F12A8C" w:rsidRDefault="00AD3D19" w14:paraId="78383D3F" w14:textId="6E0AECC7">
      <w:pPr>
        <w:ind w:left="360"/>
        <w:jc w:val="both"/>
        <w:rPr>
          <w:rFonts w:cstheme="minorHAnsi"/>
          <w:bCs/>
        </w:rPr>
      </w:pPr>
      <w:r w:rsidRPr="00144127">
        <w:rPr>
          <w:rFonts w:cstheme="minorHAnsi"/>
          <w:bCs/>
        </w:rPr>
        <w:t>Sheffield Teaching Hospitals NHS Foundation Trust</w:t>
      </w:r>
      <w:r w:rsidRPr="00144127" w:rsidR="00A20A92">
        <w:rPr>
          <w:rFonts w:cstheme="minorHAnsi"/>
          <w:bCs/>
        </w:rPr>
        <w:t xml:space="preserve"> (STH)</w:t>
      </w:r>
      <w:r w:rsidRPr="00144127" w:rsidR="00B67E6A">
        <w:rPr>
          <w:rFonts w:cstheme="minorHAnsi"/>
          <w:bCs/>
        </w:rPr>
        <w:t xml:space="preserve"> </w:t>
      </w:r>
      <w:r w:rsidRPr="00144127" w:rsidR="00F52239">
        <w:rPr>
          <w:rFonts w:cstheme="minorHAnsi"/>
          <w:bCs/>
        </w:rPr>
        <w:t xml:space="preserve">has developed a carbon impact </w:t>
      </w:r>
      <w:r w:rsidRPr="00144127" w:rsidR="00E62A29">
        <w:rPr>
          <w:rFonts w:cstheme="minorHAnsi"/>
          <w:bCs/>
        </w:rPr>
        <w:t>report with</w:t>
      </w:r>
      <w:r w:rsidRPr="00144127" w:rsidR="00F52239">
        <w:rPr>
          <w:rFonts w:cstheme="minorHAnsi"/>
          <w:bCs/>
        </w:rPr>
        <w:t xml:space="preserve"> </w:t>
      </w:r>
      <w:r w:rsidR="00697F2B">
        <w:rPr>
          <w:rFonts w:cstheme="minorHAnsi"/>
          <w:bCs/>
        </w:rPr>
        <w:t>the</w:t>
      </w:r>
      <w:r w:rsidRPr="00144127" w:rsidR="00F52239">
        <w:rPr>
          <w:rFonts w:cstheme="minorHAnsi"/>
          <w:bCs/>
        </w:rPr>
        <w:t xml:space="preserve"> aim of </w:t>
      </w:r>
      <w:r w:rsidRPr="00144127" w:rsidR="00E62A29">
        <w:rPr>
          <w:rFonts w:cstheme="minorHAnsi"/>
          <w:bCs/>
        </w:rPr>
        <w:t>minimising the environmental impact of its renal services.</w:t>
      </w:r>
    </w:p>
    <w:p w:rsidRPr="00144127" w:rsidR="00E62A29" w:rsidP="00F12A8C" w:rsidRDefault="00E62A29" w14:paraId="3BAE5524" w14:textId="6017AA0C">
      <w:pPr>
        <w:ind w:firstLine="360"/>
        <w:jc w:val="both"/>
        <w:rPr>
          <w:rFonts w:cstheme="minorHAnsi"/>
          <w:bCs/>
        </w:rPr>
      </w:pPr>
      <w:r w:rsidRPr="00144127">
        <w:rPr>
          <w:rFonts w:cstheme="minorHAnsi"/>
          <w:bCs/>
        </w:rPr>
        <w:t>The aim of this project w</w:t>
      </w:r>
      <w:r w:rsidR="00BA4E59">
        <w:rPr>
          <w:rFonts w:cstheme="minorHAnsi"/>
          <w:bCs/>
        </w:rPr>
        <w:t>as</w:t>
      </w:r>
      <w:r w:rsidRPr="00144127">
        <w:rPr>
          <w:rFonts w:cstheme="minorHAnsi"/>
          <w:bCs/>
        </w:rPr>
        <w:t xml:space="preserve"> to:</w:t>
      </w:r>
    </w:p>
    <w:p w:rsidR="002E45D8" w:rsidP="00F12A8C" w:rsidRDefault="00940D6A" w14:paraId="5A79937C" w14:textId="342A8F19">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 xml:space="preserve">Undertake a comprehensive evaluation to understand the environmental impact of </w:t>
      </w:r>
      <w:r w:rsidRPr="00144127" w:rsidR="00C21BC8">
        <w:rPr>
          <w:rFonts w:asciiTheme="minorHAnsi" w:hAnsiTheme="minorHAnsi" w:cstheme="minorHAnsi"/>
          <w:bCs/>
        </w:rPr>
        <w:t xml:space="preserve">Haemodialysis </w:t>
      </w:r>
      <w:r w:rsidRPr="00144127" w:rsidR="00606169">
        <w:rPr>
          <w:rFonts w:asciiTheme="minorHAnsi" w:hAnsiTheme="minorHAnsi" w:cstheme="minorHAnsi"/>
          <w:bCs/>
        </w:rPr>
        <w:t>(HD</w:t>
      </w:r>
      <w:r w:rsidRPr="00144127" w:rsidR="00C21BC8">
        <w:rPr>
          <w:rFonts w:asciiTheme="minorHAnsi" w:hAnsiTheme="minorHAnsi" w:cstheme="minorHAnsi"/>
          <w:bCs/>
        </w:rPr>
        <w:t>) delivery for services at Sheffield Teaching Hospitals NHS Foundation Trust.</w:t>
      </w:r>
    </w:p>
    <w:p w:rsidRPr="00144127" w:rsidR="003C535D" w:rsidP="00F12A8C" w:rsidRDefault="003C535D" w14:paraId="214BDF24" w14:textId="479A84A2">
      <w:pPr>
        <w:pStyle w:val="ListParagraph"/>
        <w:numPr>
          <w:ilvl w:val="0"/>
          <w:numId w:val="4"/>
        </w:numPr>
        <w:jc w:val="both"/>
        <w:rPr>
          <w:rFonts w:asciiTheme="minorHAnsi" w:hAnsiTheme="minorHAnsi" w:cstheme="minorHAnsi"/>
          <w:bCs/>
        </w:rPr>
      </w:pPr>
      <w:r>
        <w:rPr>
          <w:rFonts w:asciiTheme="minorHAnsi" w:hAnsiTheme="minorHAnsi" w:cstheme="minorHAnsi"/>
          <w:bCs/>
        </w:rPr>
        <w:t xml:space="preserve">Identify common metrics </w:t>
      </w:r>
      <w:r w:rsidR="00B1585B">
        <w:rPr>
          <w:rFonts w:asciiTheme="minorHAnsi" w:hAnsiTheme="minorHAnsi" w:cstheme="minorHAnsi"/>
          <w:bCs/>
        </w:rPr>
        <w:t xml:space="preserve">to develop Key Performance Indicators </w:t>
      </w:r>
      <w:r w:rsidR="006A6CE8">
        <w:rPr>
          <w:rFonts w:asciiTheme="minorHAnsi" w:hAnsiTheme="minorHAnsi" w:cstheme="minorHAnsi"/>
          <w:bCs/>
        </w:rPr>
        <w:t>(KPI’s</w:t>
      </w:r>
      <w:r w:rsidR="00B1585B">
        <w:rPr>
          <w:rFonts w:asciiTheme="minorHAnsi" w:hAnsiTheme="minorHAnsi" w:cstheme="minorHAnsi"/>
          <w:bCs/>
        </w:rPr>
        <w:t xml:space="preserve">) to demonstrate performance and </w:t>
      </w:r>
      <w:r w:rsidR="006A6CE8">
        <w:rPr>
          <w:rFonts w:asciiTheme="minorHAnsi" w:hAnsiTheme="minorHAnsi" w:cstheme="minorHAnsi"/>
          <w:bCs/>
        </w:rPr>
        <w:t>improvement.</w:t>
      </w:r>
    </w:p>
    <w:p w:rsidRPr="00144127" w:rsidR="00EB17E3" w:rsidP="00F12A8C" w:rsidRDefault="00EB17E3" w14:paraId="54B7C2F3" w14:textId="2B653EED">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To use the available toolkit to develop</w:t>
      </w:r>
      <w:r w:rsidRPr="00144127" w:rsidR="006F7183">
        <w:rPr>
          <w:rFonts w:asciiTheme="minorHAnsi" w:hAnsiTheme="minorHAnsi" w:cstheme="minorHAnsi"/>
          <w:bCs/>
        </w:rPr>
        <w:t xml:space="preserve"> a baseline measurement and to identify opportunities for reduction</w:t>
      </w:r>
      <w:r w:rsidRPr="00144127" w:rsidR="008C7DCB">
        <w:rPr>
          <w:rFonts w:asciiTheme="minorHAnsi" w:hAnsiTheme="minorHAnsi" w:cstheme="minorHAnsi"/>
          <w:bCs/>
        </w:rPr>
        <w:t>.</w:t>
      </w:r>
    </w:p>
    <w:p w:rsidRPr="00144127" w:rsidR="008C7DCB" w:rsidP="00F12A8C" w:rsidRDefault="008C7DCB" w14:paraId="57F89B5E" w14:textId="0875DFB5">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Development of a more sustainable care pathway for pa</w:t>
      </w:r>
      <w:r w:rsidRPr="00144127" w:rsidR="00736621">
        <w:rPr>
          <w:rFonts w:asciiTheme="minorHAnsi" w:hAnsiTheme="minorHAnsi" w:cstheme="minorHAnsi"/>
          <w:bCs/>
        </w:rPr>
        <w:t>tient</w:t>
      </w:r>
      <w:r w:rsidR="00A61B4C">
        <w:rPr>
          <w:rFonts w:asciiTheme="minorHAnsi" w:hAnsiTheme="minorHAnsi" w:cstheme="minorHAnsi"/>
          <w:bCs/>
        </w:rPr>
        <w:t>s</w:t>
      </w:r>
      <w:r w:rsidRPr="00144127" w:rsidR="00736621">
        <w:rPr>
          <w:rFonts w:asciiTheme="minorHAnsi" w:hAnsiTheme="minorHAnsi" w:cstheme="minorHAnsi"/>
          <w:bCs/>
        </w:rPr>
        <w:t xml:space="preserve"> </w:t>
      </w:r>
      <w:r w:rsidR="00A61B4C">
        <w:rPr>
          <w:rFonts w:asciiTheme="minorHAnsi" w:hAnsiTheme="minorHAnsi" w:cstheme="minorHAnsi"/>
          <w:bCs/>
        </w:rPr>
        <w:t>with</w:t>
      </w:r>
      <w:r w:rsidR="00082FBF">
        <w:rPr>
          <w:rFonts w:asciiTheme="minorHAnsi" w:hAnsiTheme="minorHAnsi" w:cstheme="minorHAnsi"/>
          <w:bCs/>
        </w:rPr>
        <w:t xml:space="preserve"> </w:t>
      </w:r>
      <w:r w:rsidRPr="00144127" w:rsidR="00736621">
        <w:rPr>
          <w:rFonts w:asciiTheme="minorHAnsi" w:hAnsiTheme="minorHAnsi" w:cstheme="minorHAnsi"/>
          <w:bCs/>
        </w:rPr>
        <w:t>End-</w:t>
      </w:r>
      <w:r w:rsidR="00082FBF">
        <w:rPr>
          <w:rFonts w:asciiTheme="minorHAnsi" w:hAnsiTheme="minorHAnsi" w:cstheme="minorHAnsi"/>
          <w:bCs/>
        </w:rPr>
        <w:t>S</w:t>
      </w:r>
      <w:r w:rsidRPr="00144127" w:rsidR="00736621">
        <w:rPr>
          <w:rFonts w:asciiTheme="minorHAnsi" w:hAnsiTheme="minorHAnsi" w:cstheme="minorHAnsi"/>
          <w:bCs/>
        </w:rPr>
        <w:t xml:space="preserve">tage </w:t>
      </w:r>
      <w:r w:rsidR="00082FBF">
        <w:rPr>
          <w:rFonts w:asciiTheme="minorHAnsi" w:hAnsiTheme="minorHAnsi" w:cstheme="minorHAnsi"/>
          <w:bCs/>
        </w:rPr>
        <w:t>K</w:t>
      </w:r>
      <w:r w:rsidRPr="00144127" w:rsidR="00736621">
        <w:rPr>
          <w:rFonts w:asciiTheme="minorHAnsi" w:hAnsiTheme="minorHAnsi" w:cstheme="minorHAnsi"/>
          <w:bCs/>
        </w:rPr>
        <w:t xml:space="preserve">idney </w:t>
      </w:r>
      <w:r w:rsidR="00082FBF">
        <w:rPr>
          <w:rFonts w:asciiTheme="minorHAnsi" w:hAnsiTheme="minorHAnsi" w:cstheme="minorHAnsi"/>
          <w:bCs/>
        </w:rPr>
        <w:t>D</w:t>
      </w:r>
      <w:r w:rsidRPr="00144127" w:rsidR="00736621">
        <w:rPr>
          <w:rFonts w:asciiTheme="minorHAnsi" w:hAnsiTheme="minorHAnsi" w:cstheme="minorHAnsi"/>
          <w:bCs/>
        </w:rPr>
        <w:t>isease</w:t>
      </w:r>
      <w:r w:rsidR="00082FBF">
        <w:rPr>
          <w:rFonts w:asciiTheme="minorHAnsi" w:hAnsiTheme="minorHAnsi" w:cstheme="minorHAnsi"/>
          <w:bCs/>
        </w:rPr>
        <w:t xml:space="preserve"> </w:t>
      </w:r>
      <w:r w:rsidR="00045536">
        <w:rPr>
          <w:rFonts w:asciiTheme="minorHAnsi" w:hAnsiTheme="minorHAnsi" w:cstheme="minorHAnsi"/>
          <w:bCs/>
        </w:rPr>
        <w:t>(ESKD</w:t>
      </w:r>
      <w:r w:rsidR="00082FBF">
        <w:rPr>
          <w:rFonts w:asciiTheme="minorHAnsi" w:hAnsiTheme="minorHAnsi" w:cstheme="minorHAnsi"/>
          <w:bCs/>
        </w:rPr>
        <w:t>)</w:t>
      </w:r>
      <w:r w:rsidRPr="00144127" w:rsidR="00736621">
        <w:rPr>
          <w:rFonts w:asciiTheme="minorHAnsi" w:hAnsiTheme="minorHAnsi" w:cstheme="minorHAnsi"/>
          <w:bCs/>
        </w:rPr>
        <w:t>.</w:t>
      </w:r>
    </w:p>
    <w:p w:rsidRPr="00144127" w:rsidR="00606169" w:rsidP="00F12A8C" w:rsidRDefault="00606169" w14:paraId="10B2CC04" w14:textId="075985EB">
      <w:pPr>
        <w:ind w:left="284"/>
        <w:jc w:val="both"/>
        <w:rPr>
          <w:rFonts w:cstheme="minorHAnsi"/>
          <w:bCs/>
        </w:rPr>
      </w:pPr>
      <w:r w:rsidRPr="00144127">
        <w:rPr>
          <w:rFonts w:cstheme="minorHAnsi"/>
          <w:bCs/>
        </w:rPr>
        <w:t xml:space="preserve">This report includes the </w:t>
      </w:r>
      <w:r w:rsidR="003C0748">
        <w:rPr>
          <w:rFonts w:cstheme="minorHAnsi"/>
          <w:bCs/>
        </w:rPr>
        <w:t>evaluation</w:t>
      </w:r>
      <w:r w:rsidRPr="00144127">
        <w:rPr>
          <w:rFonts w:cstheme="minorHAnsi"/>
          <w:bCs/>
        </w:rPr>
        <w:t xml:space="preserve"> of outpatient In-centre Haemodialysis</w:t>
      </w:r>
      <w:r w:rsidR="004E5751">
        <w:rPr>
          <w:rFonts w:cstheme="minorHAnsi"/>
          <w:bCs/>
        </w:rPr>
        <w:t xml:space="preserve"> (ICHD)</w:t>
      </w:r>
      <w:r w:rsidRPr="00144127" w:rsidR="00B412DA">
        <w:rPr>
          <w:rFonts w:cstheme="minorHAnsi"/>
          <w:bCs/>
        </w:rPr>
        <w:t xml:space="preserve"> services at the Northern General Hospital</w:t>
      </w:r>
      <w:r w:rsidR="00045536">
        <w:rPr>
          <w:rFonts w:cstheme="minorHAnsi"/>
          <w:bCs/>
        </w:rPr>
        <w:t xml:space="preserve"> which </w:t>
      </w:r>
      <w:r w:rsidRPr="00144127" w:rsidR="00045536">
        <w:rPr>
          <w:rFonts w:cstheme="minorHAnsi"/>
          <w:bCs/>
        </w:rPr>
        <w:t>includes</w:t>
      </w:r>
      <w:r w:rsidRPr="00144127" w:rsidR="00B412DA">
        <w:rPr>
          <w:rFonts w:cstheme="minorHAnsi"/>
          <w:bCs/>
        </w:rPr>
        <w:t xml:space="preserve"> </w:t>
      </w:r>
      <w:r w:rsidRPr="00144127" w:rsidR="00F3769C">
        <w:rPr>
          <w:rFonts w:cstheme="minorHAnsi"/>
          <w:bCs/>
        </w:rPr>
        <w:t>the wards Renal Unit G, Peter Moorhead unit and Vickers 1.</w:t>
      </w:r>
    </w:p>
    <w:p w:rsidRPr="00144127" w:rsidR="00A20A92" w:rsidP="00F12A8C" w:rsidRDefault="00A20A92" w14:paraId="666EDA19" w14:textId="2DE8DB3B">
      <w:pPr>
        <w:ind w:left="786"/>
        <w:jc w:val="both"/>
        <w:rPr>
          <w:rFonts w:cstheme="minorHAnsi"/>
          <w:bCs/>
        </w:rPr>
      </w:pPr>
      <w:r w:rsidRPr="00144127">
        <w:rPr>
          <w:rFonts w:cstheme="minorHAnsi"/>
          <w:bCs/>
        </w:rPr>
        <w:t xml:space="preserve">The findings of this </w:t>
      </w:r>
      <w:r w:rsidR="003C0748">
        <w:rPr>
          <w:rFonts w:cstheme="minorHAnsi"/>
          <w:bCs/>
        </w:rPr>
        <w:t>evaluation</w:t>
      </w:r>
      <w:r w:rsidRPr="00144127">
        <w:rPr>
          <w:rFonts w:cstheme="minorHAnsi"/>
          <w:bCs/>
        </w:rPr>
        <w:t xml:space="preserve"> will support the STH delivery </w:t>
      </w:r>
      <w:r w:rsidRPr="00144127" w:rsidR="00D26D03">
        <w:rPr>
          <w:rFonts w:cstheme="minorHAnsi"/>
          <w:bCs/>
        </w:rPr>
        <w:t>of the NHS targets</w:t>
      </w:r>
      <w:r w:rsidRPr="004C7A73" w:rsidR="004C7A73">
        <w:rPr>
          <w:rFonts w:cstheme="minorHAnsi"/>
          <w:bCs/>
          <w:sz w:val="10"/>
          <w:szCs w:val="10"/>
        </w:rPr>
        <w:t>1</w:t>
      </w:r>
    </w:p>
    <w:p w:rsidRPr="00B32789" w:rsidR="00144127" w:rsidP="00F12A8C" w:rsidRDefault="00144127" w14:paraId="05F0502E" w14:textId="11F22D41">
      <w:pPr>
        <w:pStyle w:val="ListParagraph"/>
        <w:numPr>
          <w:ilvl w:val="0"/>
          <w:numId w:val="5"/>
        </w:numPr>
        <w:jc w:val="both"/>
        <w:rPr>
          <w:rFonts w:asciiTheme="minorHAnsi" w:hAnsiTheme="minorHAnsi" w:eastAsiaTheme="minorHAnsi" w:cstheme="minorHAnsi"/>
          <w:bCs/>
        </w:rPr>
      </w:pPr>
      <w:r w:rsidRPr="00B32789">
        <w:rPr>
          <w:rFonts w:asciiTheme="minorHAnsi" w:hAnsiTheme="minorHAnsi" w:eastAsiaTheme="minorHAnsi" w:cstheme="minorHAnsi"/>
          <w:bCs/>
        </w:rPr>
        <w:t xml:space="preserve">For the emissions that the NHS control directly (the NHS Carbon Footprint), we will reach net zero by 2040, with an ambition to reach an 80% reduction by 2028 to 2032. </w:t>
      </w:r>
    </w:p>
    <w:p w:rsidRPr="00B32789" w:rsidR="00BD5529" w:rsidP="00F12A8C" w:rsidRDefault="00144127" w14:paraId="25B4B78B" w14:textId="5FCF7A2D">
      <w:pPr>
        <w:pStyle w:val="ListParagraph"/>
        <w:numPr>
          <w:ilvl w:val="0"/>
          <w:numId w:val="5"/>
        </w:numPr>
        <w:jc w:val="both"/>
        <w:rPr>
          <w:rFonts w:asciiTheme="minorHAnsi" w:hAnsiTheme="minorHAnsi" w:eastAsiaTheme="minorHAnsi" w:cstheme="minorHAnsi"/>
          <w:bCs/>
        </w:rPr>
      </w:pPr>
      <w:r w:rsidRPr="00B32789">
        <w:rPr>
          <w:rFonts w:asciiTheme="minorHAnsi" w:hAnsiTheme="minorHAnsi" w:eastAsiaTheme="minorHAnsi" w:cstheme="minorHAnsi"/>
          <w:bCs/>
        </w:rPr>
        <w:t>For the emissions the NHS can influence (our NHS Carbon Footprint Plus), we will reach net zero by 2045, with an ambition to reach an 80% reduction by 2036 to 2039.”</w:t>
      </w:r>
    </w:p>
    <w:p w:rsidR="007C1308" w:rsidP="001E3C35" w:rsidRDefault="007C1308" w14:paraId="797DD9C9" w14:textId="34124F50">
      <w:pPr>
        <w:ind w:left="284"/>
        <w:jc w:val="both"/>
        <w:rPr>
          <w:color w:val="0000FF"/>
          <w:sz w:val="10"/>
          <w:szCs w:val="10"/>
          <w:u w:val="single"/>
        </w:rPr>
      </w:pPr>
      <w:r w:rsidRPr="007C1308">
        <w:rPr>
          <w:sz w:val="10"/>
          <w:szCs w:val="10"/>
        </w:rPr>
        <w:t>1</w:t>
      </w:r>
      <w:r>
        <w:t xml:space="preserve"> </w:t>
      </w:r>
      <w:hyperlink w:history="1" r:id="rId8">
        <w:r w:rsidRPr="007C1308">
          <w:rPr>
            <w:color w:val="0000FF"/>
            <w:sz w:val="10"/>
            <w:szCs w:val="10"/>
            <w:u w:val="single"/>
          </w:rPr>
          <w:t>Greener NHS » Delivering a net zero NHS (england.nhs.uk)</w:t>
        </w:r>
      </w:hyperlink>
    </w:p>
    <w:p w:rsidRPr="007C1308" w:rsidR="00F12A8C" w:rsidP="001E3C35" w:rsidRDefault="00F12A8C" w14:paraId="738DA367" w14:textId="77777777">
      <w:pPr>
        <w:ind w:left="284"/>
        <w:jc w:val="both"/>
        <w:rPr>
          <w:color w:val="0000FF"/>
          <w:sz w:val="10"/>
          <w:szCs w:val="10"/>
          <w:u w:val="single"/>
        </w:rPr>
      </w:pPr>
    </w:p>
    <w:p w:rsidRPr="003F50D1" w:rsidR="007C1308" w:rsidP="001E3C35" w:rsidRDefault="003F172A" w14:paraId="1571F40B" w14:textId="68DC7335">
      <w:pPr>
        <w:ind w:left="360"/>
        <w:jc w:val="both"/>
        <w:rPr>
          <w:rFonts w:cstheme="minorHAnsi"/>
          <w:b/>
          <w:color w:val="538135" w:themeColor="accent6" w:themeShade="BF"/>
          <w:sz w:val="28"/>
          <w:szCs w:val="28"/>
        </w:rPr>
      </w:pPr>
      <w:r w:rsidRPr="003F50D1">
        <w:rPr>
          <w:rFonts w:cstheme="minorHAnsi"/>
          <w:b/>
          <w:color w:val="538135" w:themeColor="accent6" w:themeShade="BF"/>
          <w:sz w:val="28"/>
          <w:szCs w:val="28"/>
        </w:rPr>
        <w:t>Overall greenhouse gas emissions</w:t>
      </w:r>
      <w:r w:rsidRPr="003F50D1" w:rsidR="00FA68AE">
        <w:rPr>
          <w:rFonts w:cstheme="minorHAnsi"/>
          <w:b/>
          <w:color w:val="538135" w:themeColor="accent6" w:themeShade="BF"/>
          <w:sz w:val="28"/>
          <w:szCs w:val="28"/>
        </w:rPr>
        <w:t xml:space="preserve"> impacts breakdown</w:t>
      </w:r>
    </w:p>
    <w:p w:rsidR="00FA68AE" w:rsidP="001E3C35" w:rsidRDefault="004E5751" w14:paraId="47EE1B8C" w14:textId="3FC33B18">
      <w:pPr>
        <w:ind w:left="360"/>
        <w:jc w:val="both"/>
        <w:rPr>
          <w:rFonts w:cstheme="minorHAnsi"/>
          <w:bCs/>
        </w:rPr>
      </w:pPr>
      <w:r>
        <w:rPr>
          <w:rFonts w:cstheme="minorHAnsi"/>
          <w:bCs/>
        </w:rPr>
        <w:t xml:space="preserve">The total </w:t>
      </w:r>
      <w:r w:rsidR="006256C6">
        <w:rPr>
          <w:rFonts w:cstheme="minorHAnsi"/>
          <w:bCs/>
        </w:rPr>
        <w:t>G</w:t>
      </w:r>
      <w:r>
        <w:rPr>
          <w:rFonts w:cstheme="minorHAnsi"/>
          <w:bCs/>
        </w:rPr>
        <w:t>reen</w:t>
      </w:r>
      <w:r w:rsidR="006256C6">
        <w:rPr>
          <w:rFonts w:cstheme="minorHAnsi"/>
          <w:bCs/>
        </w:rPr>
        <w:t xml:space="preserve"> H</w:t>
      </w:r>
      <w:r>
        <w:rPr>
          <w:rFonts w:cstheme="minorHAnsi"/>
          <w:bCs/>
        </w:rPr>
        <w:t xml:space="preserve">ouse </w:t>
      </w:r>
      <w:r w:rsidR="006256C6">
        <w:rPr>
          <w:rFonts w:cstheme="minorHAnsi"/>
          <w:bCs/>
        </w:rPr>
        <w:t>G</w:t>
      </w:r>
      <w:r>
        <w:rPr>
          <w:rFonts w:cstheme="minorHAnsi"/>
          <w:bCs/>
        </w:rPr>
        <w:t xml:space="preserve">as </w:t>
      </w:r>
      <w:r w:rsidR="0014525B">
        <w:rPr>
          <w:rFonts w:cstheme="minorHAnsi"/>
          <w:bCs/>
        </w:rPr>
        <w:t>emissions (</w:t>
      </w:r>
      <w:r>
        <w:rPr>
          <w:rFonts w:cstheme="minorHAnsi"/>
          <w:bCs/>
        </w:rPr>
        <w:t>GHG) for ICHD</w:t>
      </w:r>
      <w:r w:rsidR="00843029">
        <w:rPr>
          <w:rFonts w:cstheme="minorHAnsi"/>
          <w:bCs/>
        </w:rPr>
        <w:t xml:space="preserve"> at </w:t>
      </w:r>
      <w:r w:rsidRPr="00843029" w:rsidR="00843029">
        <w:rPr>
          <w:rFonts w:cstheme="minorHAnsi"/>
          <w:bCs/>
        </w:rPr>
        <w:t>Sheffield Teaching Hospitals NHS Foundation Trust</w:t>
      </w:r>
      <w:r w:rsidR="00843029">
        <w:rPr>
          <w:rFonts w:cstheme="minorHAnsi"/>
          <w:bCs/>
        </w:rPr>
        <w:t xml:space="preserve"> are calculated to be </w:t>
      </w:r>
      <w:r w:rsidR="00A13A28">
        <w:rPr>
          <w:rFonts w:cstheme="minorHAnsi"/>
          <w:b/>
        </w:rPr>
        <w:t>827,947</w:t>
      </w:r>
      <w:r w:rsidR="007F36F3">
        <w:rPr>
          <w:rFonts w:cstheme="minorHAnsi"/>
          <w:b/>
        </w:rPr>
        <w:t xml:space="preserve"> </w:t>
      </w:r>
      <w:r w:rsidRPr="00EE6019" w:rsidR="000152BD">
        <w:rPr>
          <w:rFonts w:cstheme="minorHAnsi"/>
          <w:b/>
        </w:rPr>
        <w:t>kg</w:t>
      </w:r>
      <w:r w:rsidRPr="00EE6019" w:rsidR="00EE6019">
        <w:rPr>
          <w:rFonts w:cstheme="minorHAnsi"/>
          <w:b/>
        </w:rPr>
        <w:t>CO</w:t>
      </w:r>
      <w:r w:rsidRPr="00982078" w:rsidR="00EE6019">
        <w:rPr>
          <w:rFonts w:cstheme="minorHAnsi"/>
          <w:b/>
          <w:vertAlign w:val="subscript"/>
        </w:rPr>
        <w:t>2</w:t>
      </w:r>
      <w:r w:rsidRPr="00EE6019" w:rsidR="00EE6019">
        <w:rPr>
          <w:rFonts w:cstheme="minorHAnsi"/>
          <w:b/>
        </w:rPr>
        <w:t>e</w:t>
      </w:r>
      <w:r w:rsidR="00843029">
        <w:rPr>
          <w:rFonts w:cstheme="minorHAnsi"/>
          <w:bCs/>
        </w:rPr>
        <w:t xml:space="preserve"> </w:t>
      </w:r>
      <w:r w:rsidR="00982078">
        <w:rPr>
          <w:rFonts w:cstheme="minorHAnsi"/>
          <w:bCs/>
        </w:rPr>
        <w:t>during the</w:t>
      </w:r>
      <w:r w:rsidR="00E80D1E">
        <w:rPr>
          <w:rFonts w:cstheme="minorHAnsi"/>
          <w:bCs/>
        </w:rPr>
        <w:t xml:space="preserve"> year of </w:t>
      </w:r>
      <w:r w:rsidRPr="00EE6019" w:rsidR="00EE6019">
        <w:rPr>
          <w:rFonts w:cstheme="minorHAnsi"/>
          <w:b/>
        </w:rPr>
        <w:t>2023</w:t>
      </w:r>
      <w:r w:rsidR="006256C6">
        <w:rPr>
          <w:rFonts w:cstheme="minorHAnsi"/>
          <w:bCs/>
        </w:rPr>
        <w:t>.</w:t>
      </w:r>
    </w:p>
    <w:p w:rsidR="001E7B0E" w:rsidP="005635B3" w:rsidRDefault="005F0762" w14:paraId="7AE53FCC" w14:textId="680EF7B3">
      <w:pPr>
        <w:ind w:left="360"/>
        <w:jc w:val="both"/>
        <w:rPr>
          <w:rFonts w:cstheme="minorHAnsi"/>
          <w:bCs/>
        </w:rPr>
      </w:pPr>
      <w:r>
        <w:rPr>
          <w:rFonts w:cstheme="minorHAnsi"/>
          <w:bCs/>
        </w:rPr>
        <w:t xml:space="preserve">There was a total of </w:t>
      </w:r>
      <w:bookmarkStart w:name="_Hlk166838158" w:id="0"/>
      <w:r w:rsidRPr="00E33742" w:rsidR="00E33742">
        <w:rPr>
          <w:rFonts w:cstheme="minorHAnsi"/>
          <w:b/>
        </w:rPr>
        <w:t>48,204</w:t>
      </w:r>
      <w:r>
        <w:rPr>
          <w:rFonts w:cstheme="minorHAnsi"/>
          <w:bCs/>
        </w:rPr>
        <w:t xml:space="preserve"> </w:t>
      </w:r>
      <w:bookmarkEnd w:id="0"/>
      <w:r>
        <w:rPr>
          <w:rFonts w:cstheme="minorHAnsi"/>
          <w:bCs/>
        </w:rPr>
        <w:t xml:space="preserve">dialysis sessions which equates to </w:t>
      </w:r>
      <w:r w:rsidR="0014525B">
        <w:rPr>
          <w:rFonts w:cstheme="minorHAnsi"/>
          <w:bCs/>
        </w:rPr>
        <w:t xml:space="preserve">GHG emissions of </w:t>
      </w:r>
      <w:r w:rsidRPr="00033A1A" w:rsidR="00E33742">
        <w:rPr>
          <w:rFonts w:cstheme="minorHAnsi"/>
          <w:b/>
        </w:rPr>
        <w:t>1</w:t>
      </w:r>
      <w:r w:rsidR="00A13A28">
        <w:rPr>
          <w:rFonts w:cstheme="minorHAnsi"/>
          <w:b/>
        </w:rPr>
        <w:t>7</w:t>
      </w:r>
      <w:r w:rsidRPr="00033A1A" w:rsidR="00E33742">
        <w:rPr>
          <w:rFonts w:cstheme="minorHAnsi"/>
          <w:b/>
        </w:rPr>
        <w:t>kg</w:t>
      </w:r>
      <w:r w:rsidRPr="00033A1A" w:rsidR="00033A1A">
        <w:rPr>
          <w:rFonts w:cstheme="minorHAnsi"/>
          <w:b/>
        </w:rPr>
        <w:t xml:space="preserve"> CO</w:t>
      </w:r>
      <w:r w:rsidRPr="00982078" w:rsidR="00033A1A">
        <w:rPr>
          <w:rFonts w:cstheme="minorHAnsi"/>
          <w:b/>
          <w:vertAlign w:val="subscript"/>
        </w:rPr>
        <w:t>2</w:t>
      </w:r>
      <w:r w:rsidRPr="00033A1A" w:rsidR="00033A1A">
        <w:rPr>
          <w:rFonts w:cstheme="minorHAnsi"/>
          <w:b/>
        </w:rPr>
        <w:t>e</w:t>
      </w:r>
      <w:r w:rsidR="0014525B">
        <w:rPr>
          <w:rFonts w:cstheme="minorHAnsi"/>
          <w:bCs/>
        </w:rPr>
        <w:t xml:space="preserve"> per session</w:t>
      </w:r>
      <w:r w:rsidR="006256C6">
        <w:rPr>
          <w:rFonts w:cstheme="minorHAnsi"/>
          <w:bCs/>
        </w:rPr>
        <w:t>.</w:t>
      </w:r>
    </w:p>
    <w:p w:rsidR="000C7B3A" w:rsidP="005635B3" w:rsidRDefault="0019550C" w14:paraId="0F56AC2B" w14:textId="03FF33FE">
      <w:pPr>
        <w:ind w:left="426"/>
        <w:jc w:val="both"/>
        <w:rPr>
          <w:rFonts w:cstheme="minorHAnsi"/>
          <w:bCs/>
        </w:rPr>
      </w:pPr>
      <w:r w:rsidRPr="0019550C">
        <w:rPr>
          <w:rFonts w:cstheme="minorHAnsi"/>
          <w:bCs/>
        </w:rPr>
        <w:t xml:space="preserve">The GHG emission are </w:t>
      </w:r>
      <w:r w:rsidR="000C7B3A">
        <w:rPr>
          <w:rFonts w:cstheme="minorHAnsi"/>
          <w:bCs/>
        </w:rPr>
        <w:t>broken down in figure 1 below.</w:t>
      </w:r>
      <w:r w:rsidR="005635B3">
        <w:rPr>
          <w:rFonts w:cstheme="minorHAnsi"/>
          <w:bCs/>
        </w:rPr>
        <w:t xml:space="preserve"> </w:t>
      </w:r>
      <w:r w:rsidR="000C7B3A">
        <w:rPr>
          <w:rFonts w:cstheme="minorHAnsi"/>
          <w:bCs/>
        </w:rPr>
        <w:t xml:space="preserve">These activities can be grouped </w:t>
      </w:r>
      <w:r w:rsidR="00086EFE">
        <w:rPr>
          <w:rFonts w:cstheme="minorHAnsi"/>
          <w:bCs/>
        </w:rPr>
        <w:t>into</w:t>
      </w:r>
      <w:r w:rsidR="005635B3">
        <w:rPr>
          <w:rFonts w:cstheme="minorHAnsi"/>
          <w:bCs/>
        </w:rPr>
        <w:t xml:space="preserve"> four</w:t>
      </w:r>
      <w:r w:rsidR="00086EFE">
        <w:rPr>
          <w:rFonts w:cstheme="minorHAnsi"/>
          <w:bCs/>
        </w:rPr>
        <w:t xml:space="preserve"> broad </w:t>
      </w:r>
      <w:r w:rsidR="0024543F">
        <w:rPr>
          <w:rFonts w:cstheme="minorHAnsi"/>
          <w:bCs/>
        </w:rPr>
        <w:t>categories</w:t>
      </w:r>
      <w:r w:rsidR="00B65412">
        <w:rPr>
          <w:rFonts w:cstheme="minorHAnsi"/>
          <w:bCs/>
        </w:rPr>
        <w:t>.</w:t>
      </w:r>
    </w:p>
    <w:p w:rsidR="0024543F" w:rsidP="001E3C35" w:rsidRDefault="007C1308" w14:paraId="50DC84FA" w14:textId="7BEA5DF7">
      <w:pPr>
        <w:pStyle w:val="ListParagraph"/>
        <w:numPr>
          <w:ilvl w:val="0"/>
          <w:numId w:val="6"/>
        </w:numPr>
        <w:jc w:val="both"/>
        <w:rPr>
          <w:rFonts w:cstheme="minorHAnsi"/>
          <w:bCs/>
        </w:rPr>
      </w:pPr>
      <w:r>
        <w:rPr>
          <w:rFonts w:cstheme="minorHAnsi"/>
          <w:bCs/>
        </w:rPr>
        <w:t>Utilities (</w:t>
      </w:r>
      <w:r w:rsidR="00F50C85">
        <w:rPr>
          <w:rFonts w:cstheme="minorHAnsi"/>
          <w:bCs/>
        </w:rPr>
        <w:t>electricity,</w:t>
      </w:r>
      <w:r w:rsidR="00F37507">
        <w:rPr>
          <w:rFonts w:cstheme="minorHAnsi"/>
          <w:bCs/>
        </w:rPr>
        <w:t xml:space="preserve"> heat</w:t>
      </w:r>
      <w:r w:rsidR="00F50C85">
        <w:rPr>
          <w:rFonts w:cstheme="minorHAnsi"/>
          <w:bCs/>
        </w:rPr>
        <w:t xml:space="preserve"> and water supply</w:t>
      </w:r>
      <w:r w:rsidR="00F37507">
        <w:rPr>
          <w:rFonts w:cstheme="minorHAnsi"/>
          <w:bCs/>
        </w:rPr>
        <w:t>)</w:t>
      </w:r>
      <w:r w:rsidR="0024543F">
        <w:rPr>
          <w:rFonts w:cstheme="minorHAnsi"/>
          <w:bCs/>
        </w:rPr>
        <w:t>-</w:t>
      </w:r>
      <w:r w:rsidR="0069145E">
        <w:rPr>
          <w:rFonts w:cstheme="minorHAnsi"/>
          <w:bCs/>
        </w:rPr>
        <w:t xml:space="preserve"> 2</w:t>
      </w:r>
      <w:r w:rsidR="00A30A2B">
        <w:rPr>
          <w:rFonts w:cstheme="minorHAnsi"/>
          <w:bCs/>
        </w:rPr>
        <w:t>5</w:t>
      </w:r>
      <w:r w:rsidR="0024543F">
        <w:rPr>
          <w:rFonts w:cstheme="minorHAnsi"/>
          <w:bCs/>
        </w:rPr>
        <w:t xml:space="preserve"> %</w:t>
      </w:r>
    </w:p>
    <w:p w:rsidR="0024543F" w:rsidP="001E3C35" w:rsidRDefault="0024543F" w14:paraId="4D1276A5" w14:textId="45581652">
      <w:pPr>
        <w:pStyle w:val="ListParagraph"/>
        <w:numPr>
          <w:ilvl w:val="0"/>
          <w:numId w:val="6"/>
        </w:numPr>
        <w:jc w:val="both"/>
        <w:rPr>
          <w:rFonts w:cstheme="minorHAnsi"/>
          <w:bCs/>
        </w:rPr>
      </w:pPr>
      <w:r>
        <w:rPr>
          <w:rFonts w:cstheme="minorHAnsi"/>
          <w:bCs/>
        </w:rPr>
        <w:t>Travel</w:t>
      </w:r>
      <w:r w:rsidR="00495C0C">
        <w:rPr>
          <w:rFonts w:cstheme="minorHAnsi"/>
          <w:bCs/>
        </w:rPr>
        <w:t xml:space="preserve"> </w:t>
      </w:r>
      <w:r w:rsidR="007C1308">
        <w:rPr>
          <w:rFonts w:cstheme="minorHAnsi"/>
          <w:bCs/>
        </w:rPr>
        <w:t>(patients</w:t>
      </w:r>
      <w:r w:rsidR="00495C0C">
        <w:rPr>
          <w:rFonts w:cstheme="minorHAnsi"/>
          <w:bCs/>
        </w:rPr>
        <w:t xml:space="preserve"> &amp; staff)</w:t>
      </w:r>
      <w:r w:rsidR="007C1308">
        <w:rPr>
          <w:rFonts w:cstheme="minorHAnsi"/>
          <w:bCs/>
        </w:rPr>
        <w:t xml:space="preserve">- </w:t>
      </w:r>
      <w:r w:rsidR="00BF1439">
        <w:rPr>
          <w:rFonts w:cstheme="minorHAnsi"/>
          <w:bCs/>
        </w:rPr>
        <w:t>40</w:t>
      </w:r>
      <w:r>
        <w:rPr>
          <w:rFonts w:cstheme="minorHAnsi"/>
          <w:bCs/>
        </w:rPr>
        <w:t>%</w:t>
      </w:r>
    </w:p>
    <w:p w:rsidR="0024543F" w:rsidP="001E3C35" w:rsidRDefault="00814CAD" w14:paraId="3ECBDA7C" w14:textId="388AEC57">
      <w:pPr>
        <w:pStyle w:val="ListParagraph"/>
        <w:numPr>
          <w:ilvl w:val="0"/>
          <w:numId w:val="6"/>
        </w:numPr>
        <w:jc w:val="both"/>
        <w:rPr>
          <w:rFonts w:cstheme="minorHAnsi"/>
          <w:bCs/>
        </w:rPr>
      </w:pPr>
      <w:r>
        <w:rPr>
          <w:rFonts w:cstheme="minorHAnsi"/>
          <w:bCs/>
        </w:rPr>
        <w:t>Equipment</w:t>
      </w:r>
      <w:r w:rsidR="0019662C">
        <w:rPr>
          <w:rFonts w:cstheme="minorHAnsi"/>
          <w:bCs/>
        </w:rPr>
        <w:t>, consumables &amp; pharmaceuticals</w:t>
      </w:r>
      <w:r w:rsidR="007C1308">
        <w:rPr>
          <w:rFonts w:cstheme="minorHAnsi"/>
          <w:bCs/>
        </w:rPr>
        <w:t xml:space="preserve">- </w:t>
      </w:r>
      <w:r w:rsidR="00A30A2B">
        <w:rPr>
          <w:rFonts w:cstheme="minorHAnsi"/>
          <w:bCs/>
        </w:rPr>
        <w:t>30</w:t>
      </w:r>
      <w:r>
        <w:rPr>
          <w:rFonts w:cstheme="minorHAnsi"/>
          <w:bCs/>
        </w:rPr>
        <w:t>%</w:t>
      </w:r>
    </w:p>
    <w:p w:rsidR="00814CAD" w:rsidP="001E3C35" w:rsidRDefault="00C15E7C" w14:paraId="135ECBA1" w14:textId="66DA7F4C">
      <w:pPr>
        <w:pStyle w:val="ListParagraph"/>
        <w:numPr>
          <w:ilvl w:val="0"/>
          <w:numId w:val="6"/>
        </w:numPr>
        <w:jc w:val="both"/>
        <w:rPr>
          <w:rFonts w:cstheme="minorHAnsi"/>
          <w:bCs/>
        </w:rPr>
      </w:pPr>
      <w:r>
        <w:rPr>
          <w:rFonts w:cstheme="minorHAnsi"/>
          <w:bCs/>
        </w:rPr>
        <w:t xml:space="preserve"> Clinical and domestic w</w:t>
      </w:r>
      <w:r w:rsidR="00814CAD">
        <w:rPr>
          <w:rFonts w:cstheme="minorHAnsi"/>
          <w:bCs/>
        </w:rPr>
        <w:t xml:space="preserve">aste - </w:t>
      </w:r>
      <w:r w:rsidR="00430A97">
        <w:rPr>
          <w:rFonts w:cstheme="minorHAnsi"/>
          <w:bCs/>
        </w:rPr>
        <w:t>5</w:t>
      </w:r>
      <w:r w:rsidR="007C1308">
        <w:rPr>
          <w:rFonts w:cstheme="minorHAnsi"/>
          <w:bCs/>
        </w:rPr>
        <w:t>%.</w:t>
      </w:r>
    </w:p>
    <w:p w:rsidR="00F12A8C" w:rsidP="00F12A8C" w:rsidRDefault="00F12A8C" w14:paraId="120C7B24" w14:textId="47AF8675">
      <w:pPr>
        <w:ind w:left="786"/>
        <w:jc w:val="both"/>
        <w:rPr>
          <w:rFonts w:cstheme="minorHAnsi"/>
          <w:bCs/>
        </w:rPr>
      </w:pPr>
    </w:p>
    <w:p w:rsidR="00F12A8C" w:rsidP="00F12A8C" w:rsidRDefault="00F12A8C" w14:paraId="216980EF" w14:textId="678404F9">
      <w:pPr>
        <w:ind w:left="786"/>
        <w:jc w:val="both"/>
        <w:rPr>
          <w:rFonts w:cstheme="minorHAnsi"/>
          <w:bCs/>
        </w:rPr>
      </w:pPr>
      <w:r>
        <w:rPr>
          <w:rFonts w:cstheme="minorHAnsi"/>
          <w:bCs/>
        </w:rPr>
        <w:br/>
      </w:r>
    </w:p>
    <w:p w:rsidR="005635B3" w:rsidP="00F12A8C" w:rsidRDefault="005635B3" w14:paraId="3A4735D1" w14:textId="77777777">
      <w:pPr>
        <w:ind w:left="786"/>
        <w:jc w:val="both"/>
        <w:rPr>
          <w:rFonts w:cstheme="minorHAnsi"/>
          <w:bCs/>
        </w:rPr>
      </w:pPr>
    </w:p>
    <w:p w:rsidR="005635B3" w:rsidP="00F12A8C" w:rsidRDefault="005635B3" w14:paraId="689E617E" w14:textId="77777777">
      <w:pPr>
        <w:ind w:left="786"/>
        <w:jc w:val="both"/>
        <w:rPr>
          <w:rFonts w:cstheme="minorHAnsi"/>
          <w:bCs/>
        </w:rPr>
      </w:pPr>
    </w:p>
    <w:p w:rsidR="00F12A8C" w:rsidP="00F12A8C" w:rsidRDefault="00F12A8C" w14:paraId="2A957F59" w14:textId="77777777">
      <w:pPr>
        <w:ind w:left="786"/>
        <w:jc w:val="both"/>
        <w:rPr>
          <w:rFonts w:cstheme="minorHAnsi"/>
          <w:bCs/>
        </w:rPr>
      </w:pPr>
    </w:p>
    <w:p w:rsidRPr="00F12A8C" w:rsidR="00F12A8C" w:rsidP="00B65412" w:rsidRDefault="00F12A8C" w14:paraId="76F1C527" w14:textId="77777777">
      <w:pPr>
        <w:jc w:val="both"/>
        <w:rPr>
          <w:rFonts w:cstheme="minorHAnsi"/>
          <w:bCs/>
        </w:rPr>
      </w:pPr>
    </w:p>
    <w:p w:rsidRPr="003E77A8" w:rsidR="00311252" w:rsidP="005A4A4C" w:rsidRDefault="003E77A8" w14:paraId="69EB3A6A" w14:textId="5BA26AED">
      <w:pPr>
        <w:jc w:val="center"/>
        <w:rPr>
          <w:rFonts w:cstheme="minorHAnsi"/>
          <w:b/>
          <w:color w:val="538135" w:themeColor="accent6" w:themeShade="BF"/>
          <w:sz w:val="24"/>
          <w:szCs w:val="24"/>
        </w:rPr>
      </w:pPr>
      <w:r w:rsidRPr="003E77A8">
        <w:rPr>
          <w:rFonts w:cstheme="minorHAnsi"/>
          <w:b/>
          <w:color w:val="538135" w:themeColor="accent6" w:themeShade="BF"/>
          <w:sz w:val="24"/>
          <w:szCs w:val="24"/>
        </w:rPr>
        <w:lastRenderedPageBreak/>
        <w:t>Total Haemodialysis care pathway CO</w:t>
      </w:r>
      <w:r w:rsidRPr="00982078">
        <w:rPr>
          <w:rFonts w:cstheme="minorHAnsi"/>
          <w:b/>
          <w:color w:val="538135" w:themeColor="accent6" w:themeShade="BF"/>
          <w:sz w:val="24"/>
          <w:szCs w:val="24"/>
          <w:vertAlign w:val="subscript"/>
        </w:rPr>
        <w:t>2</w:t>
      </w:r>
      <w:r w:rsidRPr="003E77A8">
        <w:rPr>
          <w:rFonts w:cstheme="minorHAnsi"/>
          <w:b/>
          <w:color w:val="538135" w:themeColor="accent6" w:themeShade="BF"/>
          <w:sz w:val="24"/>
          <w:szCs w:val="24"/>
        </w:rPr>
        <w:t>e emissions</w:t>
      </w:r>
    </w:p>
    <w:p w:rsidRPr="00311252" w:rsidR="00311252" w:rsidP="005A4A4C" w:rsidRDefault="005F1561" w14:paraId="71B81607" w14:textId="1DC1A927">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w:drawing>
          <wp:inline distT="0" distB="0" distL="0" distR="0" wp14:anchorId="205FFA5A" wp14:editId="29786472">
            <wp:extent cx="4717785" cy="3244132"/>
            <wp:effectExtent l="19050" t="19050" r="26035" b="13970"/>
            <wp:docPr id="2064006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628" cy="3280469"/>
                    </a:xfrm>
                    <a:prstGeom prst="rect">
                      <a:avLst/>
                    </a:prstGeom>
                    <a:noFill/>
                    <a:ln w="19050">
                      <a:solidFill>
                        <a:schemeClr val="accent6">
                          <a:lumMod val="75000"/>
                        </a:schemeClr>
                      </a:solidFill>
                    </a:ln>
                  </pic:spPr>
                </pic:pic>
              </a:graphicData>
            </a:graphic>
          </wp:inline>
        </w:drawing>
      </w:r>
    </w:p>
    <w:p w:rsidRPr="00311252" w:rsidR="00311252" w:rsidP="00D82023" w:rsidRDefault="004D5F88" w14:paraId="59BB5373" w14:textId="1F9E3D9B">
      <w:pPr>
        <w:jc w:val="center"/>
        <w:rPr>
          <w:rFonts w:cstheme="minorHAnsi"/>
          <w:bCs/>
        </w:rPr>
      </w:pPr>
      <w:r>
        <w:rPr>
          <w:rFonts w:cstheme="minorHAnsi"/>
          <w:bCs/>
        </w:rPr>
        <w:t>Figure 1</w:t>
      </w:r>
    </w:p>
    <w:p w:rsidRPr="005E4BAB" w:rsidR="003F0AEF" w:rsidP="001E3C35" w:rsidRDefault="005D30B6" w14:paraId="6F81EAC5" w14:textId="486F21C8">
      <w:pPr>
        <w:jc w:val="both"/>
        <w:rPr>
          <w:rFonts w:cstheme="minorHAnsi"/>
          <w:b/>
          <w:color w:val="538135" w:themeColor="accent6" w:themeShade="BF"/>
          <w:sz w:val="28"/>
          <w:szCs w:val="28"/>
        </w:rPr>
      </w:pPr>
      <w:r w:rsidRPr="005E4BAB">
        <w:rPr>
          <w:rFonts w:cstheme="minorHAnsi"/>
          <w:b/>
          <w:color w:val="538135" w:themeColor="accent6" w:themeShade="BF"/>
          <w:sz w:val="28"/>
          <w:szCs w:val="28"/>
        </w:rPr>
        <w:t>Conclusions and recommendations</w:t>
      </w:r>
    </w:p>
    <w:p w:rsidR="00D422DA" w:rsidP="00D422DA" w:rsidRDefault="00D422DA" w14:paraId="20CA286B" w14:textId="59C6BD67">
      <w:pPr>
        <w:jc w:val="both"/>
        <w:rPr>
          <w:rFonts w:cstheme="minorHAnsi"/>
          <w:bCs/>
        </w:rPr>
      </w:pPr>
      <w:r w:rsidRPr="005E4BAB">
        <w:rPr>
          <w:rFonts w:cstheme="minorHAnsi"/>
          <w:bCs/>
        </w:rPr>
        <w:t xml:space="preserve">This </w:t>
      </w:r>
      <w:r w:rsidR="0037416E">
        <w:rPr>
          <w:rFonts w:cstheme="minorHAnsi"/>
          <w:bCs/>
        </w:rPr>
        <w:t>evaluation</w:t>
      </w:r>
      <w:r w:rsidRPr="005E4BAB">
        <w:rPr>
          <w:rFonts w:cstheme="minorHAnsi"/>
          <w:bCs/>
        </w:rPr>
        <w:t xml:space="preserve"> aimed to provide the first step in developing a roadmap to</w:t>
      </w:r>
      <w:r w:rsidR="007C5152">
        <w:rPr>
          <w:rFonts w:cstheme="minorHAnsi"/>
          <w:bCs/>
        </w:rPr>
        <w:t xml:space="preserve"> deliver</w:t>
      </w:r>
      <w:r w:rsidRPr="005E4BAB">
        <w:rPr>
          <w:rFonts w:cstheme="minorHAnsi"/>
          <w:bCs/>
        </w:rPr>
        <w:t xml:space="preserve"> a net-zero renal care pathway. The environmental impacts of haemodialysis at Sheffield Teaching Hospitals during 2023 have been calculated and an understanding of which activities contribute to the overall carbon emissions has been achieved. The </w:t>
      </w:r>
      <w:r w:rsidR="000721A0">
        <w:rPr>
          <w:rFonts w:cstheme="minorHAnsi"/>
          <w:bCs/>
        </w:rPr>
        <w:t>evaluation</w:t>
      </w:r>
      <w:r w:rsidRPr="005E4BAB">
        <w:rPr>
          <w:rFonts w:cstheme="minorHAnsi"/>
          <w:bCs/>
        </w:rPr>
        <w:t xml:space="preserve"> was undertaken using the Sustainable healthcare coalitions’ ICHD carbon calculator. This calculator presented limitation</w:t>
      </w:r>
      <w:r>
        <w:rPr>
          <w:rFonts w:cstheme="minorHAnsi"/>
          <w:bCs/>
        </w:rPr>
        <w:t>s, such as</w:t>
      </w:r>
      <w:r w:rsidRPr="005E4BAB">
        <w:rPr>
          <w:rFonts w:cstheme="minorHAnsi"/>
          <w:bCs/>
        </w:rPr>
        <w:t xml:space="preserve"> </w:t>
      </w:r>
      <w:r>
        <w:rPr>
          <w:rFonts w:cstheme="minorHAnsi"/>
          <w:bCs/>
        </w:rPr>
        <w:t xml:space="preserve">the use of </w:t>
      </w:r>
      <w:r w:rsidRPr="005E4BAB">
        <w:rPr>
          <w:rFonts w:cstheme="minorHAnsi"/>
          <w:bCs/>
        </w:rPr>
        <w:t>generic footprint</w:t>
      </w:r>
      <w:r>
        <w:rPr>
          <w:rFonts w:cstheme="minorHAnsi"/>
          <w:bCs/>
        </w:rPr>
        <w:t>s</w:t>
      </w:r>
      <w:r w:rsidRPr="005E4BAB">
        <w:rPr>
          <w:rFonts w:cstheme="minorHAnsi"/>
          <w:bCs/>
        </w:rPr>
        <w:t xml:space="preserve"> for pharmaceutical, consumables and equipment</w:t>
      </w:r>
      <w:r>
        <w:rPr>
          <w:rFonts w:cstheme="minorHAnsi"/>
          <w:bCs/>
        </w:rPr>
        <w:t>. This highlighted the requirement to improve the data metrics to give a more accurate baseline to work from. Following this</w:t>
      </w:r>
      <w:r w:rsidR="000721A0">
        <w:rPr>
          <w:rFonts w:cstheme="minorHAnsi"/>
          <w:bCs/>
        </w:rPr>
        <w:t>,</w:t>
      </w:r>
      <w:r>
        <w:rPr>
          <w:rFonts w:cstheme="minorHAnsi"/>
          <w:bCs/>
        </w:rPr>
        <w:t xml:space="preserve"> Key Performance Indicators (KPI) can be agreed and tracked as actions are completed. The action plan is included in the closing section below. </w:t>
      </w:r>
      <w:r w:rsidR="007843AF">
        <w:rPr>
          <w:rFonts w:cstheme="minorHAnsi"/>
          <w:bCs/>
        </w:rPr>
        <w:t xml:space="preserve"> </w:t>
      </w:r>
      <w:r w:rsidR="007155A3">
        <w:rPr>
          <w:rFonts w:cstheme="minorHAnsi"/>
          <w:bCs/>
        </w:rPr>
        <w:t>To</w:t>
      </w:r>
      <w:r w:rsidR="007843AF">
        <w:rPr>
          <w:rFonts w:cstheme="minorHAnsi"/>
          <w:bCs/>
        </w:rPr>
        <w:t xml:space="preserve"> support this work,</w:t>
      </w:r>
      <w:r>
        <w:rPr>
          <w:rFonts w:cstheme="minorHAnsi"/>
          <w:bCs/>
        </w:rPr>
        <w:t xml:space="preserve"> a project team with clinical, corporate, estates and facilities members</w:t>
      </w:r>
      <w:r w:rsidR="007843AF">
        <w:rPr>
          <w:rFonts w:cstheme="minorHAnsi"/>
          <w:bCs/>
        </w:rPr>
        <w:t xml:space="preserve"> will be required</w:t>
      </w:r>
      <w:r>
        <w:rPr>
          <w:rFonts w:cstheme="minorHAnsi"/>
          <w:bCs/>
        </w:rPr>
        <w:t>.</w:t>
      </w:r>
    </w:p>
    <w:p w:rsidRPr="005E4BAB" w:rsidR="00CD7580" w:rsidP="001E3C35" w:rsidRDefault="00CD7580" w14:paraId="51C7FFB5" w14:textId="5F84F563">
      <w:pPr>
        <w:jc w:val="both"/>
        <w:rPr>
          <w:rFonts w:cstheme="minorHAnsi"/>
          <w:bCs/>
        </w:rPr>
      </w:pPr>
      <w:r w:rsidRPr="005E4BAB">
        <w:rPr>
          <w:rFonts w:cstheme="minorHAnsi"/>
          <w:bCs/>
        </w:rPr>
        <w:t xml:space="preserve">The following </w:t>
      </w:r>
      <w:r w:rsidRPr="005E4BAB">
        <w:rPr>
          <w:rFonts w:cstheme="minorHAnsi"/>
          <w:b/>
        </w:rPr>
        <w:t>key findings</w:t>
      </w:r>
      <w:r w:rsidRPr="005E4BAB" w:rsidR="00C13EED">
        <w:rPr>
          <w:rFonts w:cstheme="minorHAnsi"/>
          <w:bCs/>
        </w:rPr>
        <w:t xml:space="preserve"> can be drawn from the ICHD pathway </w:t>
      </w:r>
      <w:r w:rsidR="003C0748">
        <w:rPr>
          <w:rFonts w:cstheme="minorHAnsi"/>
          <w:bCs/>
        </w:rPr>
        <w:t>evaluation</w:t>
      </w:r>
      <w:r w:rsidR="00311B2A">
        <w:rPr>
          <w:rFonts w:cstheme="minorHAnsi"/>
          <w:bCs/>
        </w:rPr>
        <w:t>.</w:t>
      </w:r>
    </w:p>
    <w:p w:rsidR="00C13EED" w:rsidP="001E3C35" w:rsidRDefault="00C13EED" w14:paraId="110667F9" w14:textId="5F6A8390">
      <w:pPr>
        <w:pStyle w:val="ListParagraph"/>
        <w:numPr>
          <w:ilvl w:val="0"/>
          <w:numId w:val="10"/>
        </w:numPr>
        <w:jc w:val="both"/>
        <w:rPr>
          <w:rFonts w:asciiTheme="minorHAnsi" w:hAnsiTheme="minorHAnsi" w:cstheme="minorHAnsi"/>
          <w:bCs/>
        </w:rPr>
      </w:pPr>
      <w:r w:rsidRPr="005E4BAB">
        <w:rPr>
          <w:rFonts w:asciiTheme="minorHAnsi" w:hAnsiTheme="minorHAnsi" w:cstheme="minorHAnsi"/>
          <w:bCs/>
        </w:rPr>
        <w:t xml:space="preserve">The total GHG impact of providing </w:t>
      </w:r>
      <w:r w:rsidRPr="005E4BAB" w:rsidR="005873AF">
        <w:rPr>
          <w:rFonts w:asciiTheme="minorHAnsi" w:hAnsiTheme="minorHAnsi" w:cstheme="minorHAnsi"/>
          <w:b/>
        </w:rPr>
        <w:t xml:space="preserve">48,204 sessions </w:t>
      </w:r>
      <w:r w:rsidRPr="005E4BAB" w:rsidR="005873AF">
        <w:rPr>
          <w:rFonts w:asciiTheme="minorHAnsi" w:hAnsiTheme="minorHAnsi" w:cstheme="minorHAnsi"/>
          <w:bCs/>
        </w:rPr>
        <w:t>of ICHD at Sheffield Teaching Hospitals</w:t>
      </w:r>
      <w:r w:rsidRPr="005E4BAB" w:rsidR="00142695">
        <w:rPr>
          <w:rFonts w:asciiTheme="minorHAnsi" w:hAnsiTheme="minorHAnsi" w:cstheme="minorHAnsi"/>
          <w:bCs/>
        </w:rPr>
        <w:t xml:space="preserve"> is estimated to be </w:t>
      </w:r>
      <w:r w:rsidR="00B22123">
        <w:rPr>
          <w:rFonts w:asciiTheme="minorHAnsi" w:hAnsiTheme="minorHAnsi" w:cstheme="minorHAnsi"/>
          <w:b/>
        </w:rPr>
        <w:t>827,947</w:t>
      </w:r>
      <w:r w:rsidR="009210C0">
        <w:rPr>
          <w:rFonts w:asciiTheme="minorHAnsi" w:hAnsiTheme="minorHAnsi" w:cstheme="minorHAnsi"/>
          <w:b/>
        </w:rPr>
        <w:t xml:space="preserve"> </w:t>
      </w:r>
      <w:r w:rsidRPr="005E4BAB" w:rsidR="00142695">
        <w:rPr>
          <w:rFonts w:asciiTheme="minorHAnsi" w:hAnsiTheme="minorHAnsi" w:cstheme="minorHAnsi"/>
          <w:b/>
        </w:rPr>
        <w:t>kgCO</w:t>
      </w:r>
      <w:r w:rsidRPr="00982078" w:rsidR="00142695">
        <w:rPr>
          <w:rFonts w:asciiTheme="minorHAnsi" w:hAnsiTheme="minorHAnsi" w:cstheme="minorHAnsi"/>
          <w:b/>
          <w:vertAlign w:val="subscript"/>
        </w:rPr>
        <w:t>2</w:t>
      </w:r>
      <w:r w:rsidRPr="005E4BAB" w:rsidR="00142695">
        <w:rPr>
          <w:rFonts w:asciiTheme="minorHAnsi" w:hAnsiTheme="minorHAnsi" w:cstheme="minorHAnsi"/>
          <w:b/>
        </w:rPr>
        <w:t>e</w:t>
      </w:r>
      <w:r w:rsidRPr="005E4BAB" w:rsidR="00EF0FEF">
        <w:rPr>
          <w:rFonts w:asciiTheme="minorHAnsi" w:hAnsiTheme="minorHAnsi" w:cstheme="minorHAnsi"/>
          <w:b/>
        </w:rPr>
        <w:t xml:space="preserve"> </w:t>
      </w:r>
      <w:r w:rsidRPr="005E4BAB" w:rsidR="00EF0FEF">
        <w:rPr>
          <w:rFonts w:asciiTheme="minorHAnsi" w:hAnsiTheme="minorHAnsi" w:cstheme="minorHAnsi"/>
          <w:bCs/>
        </w:rPr>
        <w:t>and can be expressed as</w:t>
      </w:r>
      <w:r w:rsidRPr="005E4BAB" w:rsidR="00EF0FEF">
        <w:rPr>
          <w:rFonts w:asciiTheme="minorHAnsi" w:hAnsiTheme="minorHAnsi" w:cstheme="minorHAnsi"/>
          <w:b/>
        </w:rPr>
        <w:t xml:space="preserve"> 1</w:t>
      </w:r>
      <w:r w:rsidR="00B22123">
        <w:rPr>
          <w:rFonts w:asciiTheme="minorHAnsi" w:hAnsiTheme="minorHAnsi" w:cstheme="minorHAnsi"/>
          <w:b/>
        </w:rPr>
        <w:t>7</w:t>
      </w:r>
      <w:r w:rsidR="002A3B80">
        <w:rPr>
          <w:rFonts w:asciiTheme="minorHAnsi" w:hAnsiTheme="minorHAnsi" w:cstheme="minorHAnsi"/>
          <w:b/>
        </w:rPr>
        <w:t xml:space="preserve"> </w:t>
      </w:r>
      <w:r w:rsidRPr="005E4BAB" w:rsidR="00EF0FEF">
        <w:rPr>
          <w:rFonts w:asciiTheme="minorHAnsi" w:hAnsiTheme="minorHAnsi" w:cstheme="minorHAnsi"/>
          <w:b/>
        </w:rPr>
        <w:t>kg CO</w:t>
      </w:r>
      <w:r w:rsidRPr="00982078" w:rsidR="00EF0FEF">
        <w:rPr>
          <w:rFonts w:asciiTheme="minorHAnsi" w:hAnsiTheme="minorHAnsi" w:cstheme="minorHAnsi"/>
          <w:b/>
          <w:vertAlign w:val="subscript"/>
        </w:rPr>
        <w:t>2</w:t>
      </w:r>
      <w:r w:rsidRPr="005E4BAB" w:rsidR="00EF0FEF">
        <w:rPr>
          <w:rFonts w:asciiTheme="minorHAnsi" w:hAnsiTheme="minorHAnsi" w:cstheme="minorHAnsi"/>
          <w:b/>
        </w:rPr>
        <w:t>e</w:t>
      </w:r>
      <w:r w:rsidRPr="005E4BAB" w:rsidR="00EF0FEF">
        <w:rPr>
          <w:rFonts w:asciiTheme="minorHAnsi" w:hAnsiTheme="minorHAnsi" w:cstheme="minorHAnsi"/>
          <w:bCs/>
        </w:rPr>
        <w:t xml:space="preserve"> per dialysis session.</w:t>
      </w:r>
    </w:p>
    <w:p w:rsidR="006C59B4" w:rsidP="006C59B4" w:rsidRDefault="006C59B4" w14:paraId="2E45EF61" w14:textId="77777777">
      <w:pPr>
        <w:ind w:left="375"/>
        <w:jc w:val="both"/>
      </w:pPr>
      <w:r>
        <w:t xml:space="preserve">A contribution analysis of the above GHG impact reveals: </w:t>
      </w:r>
    </w:p>
    <w:p w:rsidRPr="005730D8" w:rsidR="0080217A" w:rsidP="0080217A" w:rsidRDefault="0080217A" w14:paraId="6F335607" w14:textId="3B87B15C">
      <w:pPr>
        <w:pStyle w:val="ListParagraph"/>
        <w:numPr>
          <w:ilvl w:val="0"/>
          <w:numId w:val="37"/>
        </w:numPr>
        <w:jc w:val="both"/>
        <w:rPr>
          <w:rFonts w:cstheme="minorHAnsi"/>
          <w:bCs/>
        </w:rPr>
      </w:pPr>
      <w:r>
        <w:t>The impacts associated with fossil fuel production and combustion to power both patient travel and staff commutes makes the largest contribution</w:t>
      </w:r>
      <w:r w:rsidR="00DC2E9E">
        <w:t>,</w:t>
      </w:r>
      <w:r>
        <w:t xml:space="preserve"> 40%</w:t>
      </w:r>
      <w:r w:rsidR="00DC2E9E">
        <w:t xml:space="preserve"> of the total</w:t>
      </w:r>
      <w:r>
        <w:t>.</w:t>
      </w:r>
    </w:p>
    <w:p w:rsidRPr="005730D8" w:rsidR="0080217A" w:rsidP="0080217A" w:rsidRDefault="0080217A" w14:paraId="2DD0CE53" w14:textId="6964FFB0">
      <w:pPr>
        <w:pStyle w:val="ListParagraph"/>
        <w:numPr>
          <w:ilvl w:val="0"/>
          <w:numId w:val="37"/>
        </w:numPr>
        <w:jc w:val="both"/>
        <w:rPr>
          <w:rFonts w:cstheme="minorHAnsi"/>
          <w:bCs/>
        </w:rPr>
      </w:pPr>
      <w:r>
        <w:t xml:space="preserve">The impacts associated with the manufacture, packaging and distribution of the used pharmaceuticals, consumables, and equipment makes </w:t>
      </w:r>
      <w:r w:rsidR="00DC2E9E">
        <w:t>the second largest contribution,</w:t>
      </w:r>
      <w:r>
        <w:t xml:space="preserve"> 30%</w:t>
      </w:r>
      <w:r w:rsidR="00DC2E9E">
        <w:t xml:space="preserve"> of the to</w:t>
      </w:r>
      <w:r w:rsidR="003A2600">
        <w:t>tal</w:t>
      </w:r>
      <w:r>
        <w:t>.</w:t>
      </w:r>
    </w:p>
    <w:p w:rsidRPr="005730D8" w:rsidR="006C59B4" w:rsidP="006C59B4" w:rsidRDefault="006C59B4" w14:paraId="4BFD339B" w14:textId="577856AC">
      <w:pPr>
        <w:pStyle w:val="ListParagraph"/>
        <w:numPr>
          <w:ilvl w:val="0"/>
          <w:numId w:val="37"/>
        </w:numPr>
        <w:jc w:val="both"/>
        <w:rPr>
          <w:rFonts w:cstheme="minorHAnsi"/>
          <w:bCs/>
        </w:rPr>
      </w:pPr>
      <w:r>
        <w:t>The utilities required, and the impacts associated with their energy and water consumptions, makes</w:t>
      </w:r>
      <w:r w:rsidR="003A2600">
        <w:t xml:space="preserve"> a significant </w:t>
      </w:r>
      <w:r w:rsidR="00FD104D">
        <w:t>contribution,</w:t>
      </w:r>
      <w:r>
        <w:t xml:space="preserve"> 25% of the </w:t>
      </w:r>
      <w:r w:rsidR="001C1617">
        <w:t>total.</w:t>
      </w:r>
      <w:r>
        <w:t xml:space="preserve"> </w:t>
      </w:r>
    </w:p>
    <w:p w:rsidRPr="005730D8" w:rsidR="006C59B4" w:rsidP="006C59B4" w:rsidRDefault="006C59B4" w14:paraId="3A04934D" w14:textId="4C6CAC89">
      <w:pPr>
        <w:pStyle w:val="ListParagraph"/>
        <w:numPr>
          <w:ilvl w:val="0"/>
          <w:numId w:val="37"/>
        </w:numPr>
        <w:jc w:val="both"/>
        <w:rPr>
          <w:rFonts w:cstheme="minorHAnsi"/>
          <w:bCs/>
        </w:rPr>
      </w:pPr>
      <w:r>
        <w:t>The impacts associated with treatments of generated solid waste, have a smaller contribution of 5%</w:t>
      </w:r>
      <w:r w:rsidR="00DF41BF">
        <w:t xml:space="preserve"> of the total</w:t>
      </w:r>
      <w:r>
        <w:t>.</w:t>
      </w:r>
    </w:p>
    <w:p w:rsidRPr="006C59B4" w:rsidR="006C59B4" w:rsidP="006C59B4" w:rsidRDefault="006C59B4" w14:paraId="070AFD75" w14:textId="77777777">
      <w:pPr>
        <w:jc w:val="both"/>
        <w:rPr>
          <w:rFonts w:cstheme="minorHAnsi"/>
          <w:bCs/>
        </w:rPr>
      </w:pPr>
    </w:p>
    <w:p w:rsidRPr="005E4BAB" w:rsidR="007B59C5" w:rsidP="001E3C35" w:rsidRDefault="0049432F" w14:paraId="29A79B55" w14:textId="34621F48">
      <w:pPr>
        <w:jc w:val="both"/>
        <w:rPr>
          <w:rFonts w:cstheme="minorHAnsi"/>
          <w:bCs/>
        </w:rPr>
      </w:pPr>
      <w:r w:rsidRPr="005E4BAB">
        <w:rPr>
          <w:rFonts w:cstheme="minorHAnsi"/>
          <w:bCs/>
        </w:rPr>
        <w:lastRenderedPageBreak/>
        <w:t xml:space="preserve">The </w:t>
      </w:r>
      <w:r w:rsidRPr="005E4BAB" w:rsidR="000B2BAF">
        <w:rPr>
          <w:rFonts w:cstheme="minorHAnsi"/>
          <w:bCs/>
        </w:rPr>
        <w:t xml:space="preserve">following </w:t>
      </w:r>
      <w:r w:rsidRPr="005E4BAB" w:rsidR="000B2BAF">
        <w:rPr>
          <w:rFonts w:cstheme="minorHAnsi"/>
          <w:b/>
        </w:rPr>
        <w:t>recommendations</w:t>
      </w:r>
      <w:r w:rsidRPr="005E4BAB" w:rsidR="00E1289A">
        <w:rPr>
          <w:rFonts w:cstheme="minorHAnsi"/>
          <w:bCs/>
        </w:rPr>
        <w:t xml:space="preserve"> </w:t>
      </w:r>
      <w:r w:rsidR="00D11D94">
        <w:rPr>
          <w:rFonts w:cstheme="minorHAnsi"/>
          <w:bCs/>
        </w:rPr>
        <w:t>will</w:t>
      </w:r>
      <w:r w:rsidRPr="005E4BAB" w:rsidR="00E1289A">
        <w:rPr>
          <w:rFonts w:cstheme="minorHAnsi"/>
          <w:bCs/>
        </w:rPr>
        <w:t xml:space="preserve"> be explore</w:t>
      </w:r>
      <w:r w:rsidRPr="005E4BAB" w:rsidR="00793C90">
        <w:rPr>
          <w:rFonts w:cstheme="minorHAnsi"/>
          <w:bCs/>
        </w:rPr>
        <w:t>d</w:t>
      </w:r>
      <w:r w:rsidRPr="005E4BAB" w:rsidR="00E1289A">
        <w:rPr>
          <w:rFonts w:cstheme="minorHAnsi"/>
          <w:bCs/>
        </w:rPr>
        <w:t xml:space="preserve"> to help reduce the environmental impacts associated with providing ICHD care.</w:t>
      </w:r>
    </w:p>
    <w:p w:rsidRPr="00FA2353" w:rsidR="001C1617" w:rsidP="001C1617" w:rsidRDefault="001C1617" w14:paraId="19A2969E" w14:textId="18008F20">
      <w:pPr>
        <w:pStyle w:val="ListParagraph"/>
        <w:numPr>
          <w:ilvl w:val="0"/>
          <w:numId w:val="36"/>
        </w:numPr>
        <w:jc w:val="both"/>
      </w:pPr>
      <w:r w:rsidRPr="003008AC">
        <w:rPr>
          <w:b/>
          <w:bCs/>
          <w:color w:val="538135" w:themeColor="accent6" w:themeShade="BF"/>
        </w:rPr>
        <w:t xml:space="preserve">Undertake a deep dive into </w:t>
      </w:r>
      <w:r w:rsidR="00866184">
        <w:rPr>
          <w:b/>
          <w:bCs/>
          <w:color w:val="538135" w:themeColor="accent6" w:themeShade="BF"/>
        </w:rPr>
        <w:t>patient</w:t>
      </w:r>
      <w:r w:rsidRPr="003008AC">
        <w:rPr>
          <w:b/>
          <w:bCs/>
          <w:color w:val="538135" w:themeColor="accent6" w:themeShade="BF"/>
        </w:rPr>
        <w:t xml:space="preserve"> travel arrangements</w:t>
      </w:r>
      <w:r w:rsidR="005337EF">
        <w:rPr>
          <w:color w:val="538135" w:themeColor="accent6" w:themeShade="BF"/>
        </w:rPr>
        <w:t>.</w:t>
      </w:r>
    </w:p>
    <w:p w:rsidRPr="007B7350" w:rsidR="001C1617" w:rsidP="001C1617" w:rsidRDefault="00B42F0C" w14:paraId="0D78F7C1" w14:textId="34F533A9">
      <w:pPr>
        <w:pStyle w:val="ListParagraph"/>
        <w:numPr>
          <w:ilvl w:val="0"/>
          <w:numId w:val="36"/>
        </w:numPr>
        <w:rPr>
          <w:sz w:val="24"/>
          <w:szCs w:val="24"/>
        </w:rPr>
      </w:pPr>
      <w:r w:rsidRPr="0EEC9753">
        <w:rPr>
          <w:b/>
          <w:bCs/>
          <w:color w:val="538135" w:themeColor="accent6" w:themeShade="BF"/>
        </w:rPr>
        <w:t>Explore opportunities to move patient treatment closer to home</w:t>
      </w:r>
      <w:r w:rsidR="008B6A03">
        <w:rPr>
          <w:b/>
          <w:bCs/>
          <w:color w:val="538135" w:themeColor="accent6" w:themeShade="BF"/>
        </w:rPr>
        <w:t>.</w:t>
      </w:r>
    </w:p>
    <w:p w:rsidRPr="003008AC" w:rsidR="001C1617" w:rsidP="001C1617" w:rsidRDefault="001C1617" w14:paraId="74C55E1C" w14:textId="3A284274">
      <w:pPr>
        <w:pStyle w:val="ListParagraph"/>
        <w:numPr>
          <w:ilvl w:val="0"/>
          <w:numId w:val="36"/>
        </w:numPr>
        <w:jc w:val="both"/>
      </w:pPr>
      <w:r w:rsidRPr="003008AC">
        <w:rPr>
          <w:b/>
          <w:bCs/>
          <w:color w:val="538135" w:themeColor="accent6" w:themeShade="BF"/>
        </w:rPr>
        <w:t xml:space="preserve">Review the current </w:t>
      </w:r>
      <w:r w:rsidR="00E166EC">
        <w:rPr>
          <w:b/>
          <w:bCs/>
          <w:color w:val="538135" w:themeColor="accent6" w:themeShade="BF"/>
        </w:rPr>
        <w:t>“</w:t>
      </w:r>
      <w:r w:rsidRPr="003008AC">
        <w:rPr>
          <w:b/>
          <w:bCs/>
          <w:color w:val="538135" w:themeColor="accent6" w:themeShade="BF"/>
        </w:rPr>
        <w:t>D</w:t>
      </w:r>
      <w:r w:rsidR="00E166EC">
        <w:rPr>
          <w:b/>
          <w:bCs/>
          <w:color w:val="538135" w:themeColor="accent6" w:themeShade="BF"/>
        </w:rPr>
        <w:t xml:space="preserve">o </w:t>
      </w:r>
      <w:r w:rsidRPr="003008AC">
        <w:rPr>
          <w:b/>
          <w:bCs/>
          <w:color w:val="538135" w:themeColor="accent6" w:themeShade="BF"/>
        </w:rPr>
        <w:t>N</w:t>
      </w:r>
      <w:r w:rsidR="00E166EC">
        <w:rPr>
          <w:b/>
          <w:bCs/>
          <w:color w:val="538135" w:themeColor="accent6" w:themeShade="BF"/>
        </w:rPr>
        <w:t xml:space="preserve">ot </w:t>
      </w:r>
      <w:r w:rsidRPr="003008AC">
        <w:rPr>
          <w:b/>
          <w:bCs/>
          <w:color w:val="538135" w:themeColor="accent6" w:themeShade="BF"/>
        </w:rPr>
        <w:t>A</w:t>
      </w:r>
      <w:r w:rsidR="00E166EC">
        <w:rPr>
          <w:b/>
          <w:bCs/>
          <w:color w:val="538135" w:themeColor="accent6" w:themeShade="BF"/>
        </w:rPr>
        <w:t>ttend” (DNA)</w:t>
      </w:r>
      <w:r w:rsidRPr="003008AC">
        <w:rPr>
          <w:b/>
          <w:bCs/>
          <w:color w:val="538135" w:themeColor="accent6" w:themeShade="BF"/>
        </w:rPr>
        <w:t xml:space="preserve"> rates</w:t>
      </w:r>
      <w:r w:rsidR="005337EF">
        <w:rPr>
          <w:b/>
          <w:bCs/>
          <w:color w:val="538135" w:themeColor="accent6" w:themeShade="BF"/>
        </w:rPr>
        <w:t>.</w:t>
      </w:r>
      <w:r w:rsidRPr="003008AC">
        <w:rPr>
          <w:b/>
          <w:bCs/>
          <w:color w:val="538135" w:themeColor="accent6" w:themeShade="BF"/>
        </w:rPr>
        <w:t xml:space="preserve"> </w:t>
      </w:r>
    </w:p>
    <w:p w:rsidRPr="001C1617" w:rsidR="001C1617" w:rsidP="001C1617" w:rsidRDefault="001C1617" w14:paraId="52B83E73" w14:textId="4AD29A91">
      <w:pPr>
        <w:pStyle w:val="ListParagraph"/>
        <w:numPr>
          <w:ilvl w:val="0"/>
          <w:numId w:val="36"/>
        </w:numPr>
        <w:jc w:val="both"/>
        <w:rPr>
          <w:b/>
          <w:bCs/>
          <w:color w:val="538135" w:themeColor="accent6" w:themeShade="BF"/>
        </w:rPr>
      </w:pPr>
      <w:r w:rsidRPr="003008AC">
        <w:rPr>
          <w:b/>
          <w:bCs/>
          <w:color w:val="538135" w:themeColor="accent6" w:themeShade="BF"/>
        </w:rPr>
        <w:t xml:space="preserve">Undertake a specific travel survey of the staff working within the Renal </w:t>
      </w:r>
      <w:r w:rsidR="00E166EC">
        <w:rPr>
          <w:b/>
          <w:bCs/>
          <w:color w:val="538135" w:themeColor="accent6" w:themeShade="BF"/>
        </w:rPr>
        <w:t>wards</w:t>
      </w:r>
      <w:r w:rsidRPr="001C1617">
        <w:rPr>
          <w:b/>
          <w:bCs/>
          <w:color w:val="538135" w:themeColor="accent6" w:themeShade="BF"/>
        </w:rPr>
        <w:t xml:space="preserve"> at STH</w:t>
      </w:r>
      <w:r w:rsidR="005337EF">
        <w:rPr>
          <w:b/>
          <w:bCs/>
          <w:color w:val="538135" w:themeColor="accent6" w:themeShade="BF"/>
        </w:rPr>
        <w:t>.</w:t>
      </w:r>
    </w:p>
    <w:p w:rsidRPr="003008AC" w:rsidR="001C1617" w:rsidP="001C1617" w:rsidRDefault="001C1617" w14:paraId="0140995F" w14:textId="338F0FC9">
      <w:pPr>
        <w:pStyle w:val="ListParagraph"/>
        <w:numPr>
          <w:ilvl w:val="0"/>
          <w:numId w:val="36"/>
        </w:numPr>
        <w:jc w:val="both"/>
      </w:pPr>
      <w:r w:rsidRPr="003008AC">
        <w:rPr>
          <w:rFonts w:asciiTheme="minorHAnsi" w:hAnsiTheme="minorHAnsi" w:eastAsiaTheme="minorHAnsi" w:cstheme="minorBidi"/>
          <w:b/>
          <w:bCs/>
          <w:color w:val="538135" w:themeColor="accent6" w:themeShade="BF"/>
        </w:rPr>
        <w:t>To work with the Sustainable Healthcare Coalition to improve the metrics</w:t>
      </w:r>
      <w:r w:rsidR="005337EF">
        <w:rPr>
          <w:rFonts w:asciiTheme="minorHAnsi" w:hAnsiTheme="minorHAnsi" w:eastAsiaTheme="minorHAnsi" w:cstheme="minorBidi"/>
          <w:b/>
          <w:bCs/>
          <w:color w:val="538135" w:themeColor="accent6" w:themeShade="BF"/>
        </w:rPr>
        <w:t>.</w:t>
      </w:r>
      <w:r w:rsidRPr="003008AC">
        <w:rPr>
          <w:rFonts w:asciiTheme="minorHAnsi" w:hAnsiTheme="minorHAnsi" w:eastAsiaTheme="minorHAnsi" w:cstheme="minorBidi"/>
        </w:rPr>
        <w:t xml:space="preserve"> </w:t>
      </w:r>
    </w:p>
    <w:p w:rsidR="001C1617" w:rsidP="001C1617" w:rsidRDefault="003C0748" w14:paraId="264891F4" w14:textId="7B5FD09D">
      <w:pPr>
        <w:pStyle w:val="ListParagraph"/>
        <w:numPr>
          <w:ilvl w:val="0"/>
          <w:numId w:val="36"/>
        </w:numPr>
        <w:jc w:val="both"/>
      </w:pPr>
      <w:r>
        <w:rPr>
          <w:b/>
          <w:bCs/>
          <w:color w:val="538135" w:themeColor="accent6" w:themeShade="BF"/>
        </w:rPr>
        <w:t>Evaluation</w:t>
      </w:r>
      <w:r w:rsidRPr="003008AC" w:rsidR="001C1617">
        <w:rPr>
          <w:b/>
          <w:bCs/>
          <w:color w:val="538135" w:themeColor="accent6" w:themeShade="BF"/>
        </w:rPr>
        <w:t xml:space="preserve"> of the manufacture, packaging and distribution of consumables and pharmaceuticals</w:t>
      </w:r>
      <w:r w:rsidRPr="003008AC" w:rsidR="001C1617">
        <w:t xml:space="preserve">. </w:t>
      </w:r>
    </w:p>
    <w:p w:rsidRPr="001F5783" w:rsidR="001C1617" w:rsidP="001C1617" w:rsidRDefault="001C1617" w14:paraId="4913F936" w14:textId="2FAE60C8">
      <w:pPr>
        <w:pStyle w:val="ListParagraph"/>
        <w:numPr>
          <w:ilvl w:val="0"/>
          <w:numId w:val="36"/>
        </w:numPr>
      </w:pPr>
      <w:r w:rsidRPr="00AD10A4">
        <w:rPr>
          <w:b/>
          <w:bCs/>
          <w:color w:val="538135" w:themeColor="accent6" w:themeShade="BF"/>
        </w:rPr>
        <w:t xml:space="preserve">Engage with </w:t>
      </w:r>
      <w:r w:rsidR="00C16ACC">
        <w:rPr>
          <w:b/>
          <w:bCs/>
          <w:color w:val="538135" w:themeColor="accent6" w:themeShade="BF"/>
        </w:rPr>
        <w:t>E</w:t>
      </w:r>
      <w:r w:rsidRPr="00AD10A4">
        <w:rPr>
          <w:b/>
          <w:bCs/>
          <w:color w:val="538135" w:themeColor="accent6" w:themeShade="BF"/>
        </w:rPr>
        <w:t>states to assess whether</w:t>
      </w:r>
      <w:r w:rsidR="00C96B07">
        <w:rPr>
          <w:b/>
          <w:bCs/>
          <w:color w:val="538135" w:themeColor="accent6" w:themeShade="BF"/>
        </w:rPr>
        <w:t xml:space="preserve"> utilities </w:t>
      </w:r>
      <w:r w:rsidRPr="00AD10A4">
        <w:rPr>
          <w:b/>
          <w:bCs/>
          <w:color w:val="538135" w:themeColor="accent6" w:themeShade="BF"/>
        </w:rPr>
        <w:t>metering could be undertaken</w:t>
      </w:r>
      <w:r w:rsidR="005337EF">
        <w:rPr>
          <w:b/>
          <w:bCs/>
          <w:color w:val="538135" w:themeColor="accent6" w:themeShade="BF"/>
        </w:rPr>
        <w:t>.</w:t>
      </w:r>
    </w:p>
    <w:p w:rsidRPr="004808C7" w:rsidR="001C1617" w:rsidP="001C1617" w:rsidRDefault="001C1617" w14:paraId="1E4C5B1B" w14:textId="32FE34C9">
      <w:pPr>
        <w:pStyle w:val="ListParagraph"/>
        <w:numPr>
          <w:ilvl w:val="0"/>
          <w:numId w:val="36"/>
        </w:numPr>
        <w:jc w:val="both"/>
      </w:pPr>
      <w:r w:rsidRPr="0090299D">
        <w:rPr>
          <w:b/>
          <w:bCs/>
          <w:color w:val="538135" w:themeColor="accent6" w:themeShade="BF"/>
        </w:rPr>
        <w:t xml:space="preserve">Improve waste streams and introduce </w:t>
      </w:r>
      <w:r w:rsidRPr="0090299D" w:rsidR="005337EF">
        <w:rPr>
          <w:b/>
          <w:bCs/>
          <w:color w:val="538135" w:themeColor="accent6" w:themeShade="BF"/>
        </w:rPr>
        <w:t>recycling</w:t>
      </w:r>
      <w:r w:rsidRPr="005E4BAB" w:rsidR="005337EF">
        <w:rPr>
          <w:rFonts w:asciiTheme="minorHAnsi" w:hAnsiTheme="minorHAnsi" w:cstheme="minorHAnsi"/>
        </w:rPr>
        <w:t>.</w:t>
      </w:r>
    </w:p>
    <w:p w:rsidRPr="00400A6E" w:rsidR="001C1617" w:rsidP="001C1617" w:rsidRDefault="001C1617" w14:paraId="724FEBBA" w14:textId="452FACBE">
      <w:pPr>
        <w:pStyle w:val="ListParagraph"/>
        <w:numPr>
          <w:ilvl w:val="0"/>
          <w:numId w:val="36"/>
        </w:numPr>
        <w:jc w:val="both"/>
        <w:rPr>
          <w:rFonts w:asciiTheme="minorHAnsi" w:hAnsiTheme="minorHAnsi" w:eastAsiaTheme="minorHAnsi" w:cstheme="minorBidi"/>
        </w:rPr>
      </w:pPr>
      <w:r>
        <w:rPr>
          <w:rFonts w:asciiTheme="minorHAnsi" w:hAnsiTheme="minorHAnsi" w:eastAsiaTheme="minorHAnsi" w:cstheme="minorBidi"/>
          <w:b/>
          <w:bCs/>
          <w:color w:val="538135" w:themeColor="accent6" w:themeShade="BF"/>
        </w:rPr>
        <w:t>Collaboration with estates</w:t>
      </w:r>
      <w:r w:rsidR="006B0946">
        <w:rPr>
          <w:rFonts w:asciiTheme="minorHAnsi" w:hAnsiTheme="minorHAnsi" w:eastAsiaTheme="minorHAnsi" w:cstheme="minorBidi"/>
          <w:b/>
          <w:bCs/>
          <w:color w:val="538135" w:themeColor="accent6" w:themeShade="BF"/>
        </w:rPr>
        <w:t xml:space="preserve"> to</w:t>
      </w:r>
      <w:r>
        <w:rPr>
          <w:rFonts w:asciiTheme="minorHAnsi" w:hAnsiTheme="minorHAnsi" w:eastAsiaTheme="minorHAnsi" w:cstheme="minorBidi"/>
          <w:b/>
          <w:bCs/>
          <w:color w:val="538135" w:themeColor="accent6" w:themeShade="BF"/>
        </w:rPr>
        <w:t xml:space="preserve"> improve the baseline metric for water us</w:t>
      </w:r>
      <w:r w:rsidR="006B0946">
        <w:rPr>
          <w:rFonts w:asciiTheme="minorHAnsi" w:hAnsiTheme="minorHAnsi" w:eastAsiaTheme="minorHAnsi" w:cstheme="minorBidi"/>
          <w:b/>
          <w:bCs/>
          <w:color w:val="538135" w:themeColor="accent6" w:themeShade="BF"/>
        </w:rPr>
        <w:t>age</w:t>
      </w:r>
      <w:r w:rsidR="005337EF">
        <w:rPr>
          <w:rFonts w:asciiTheme="minorHAnsi" w:hAnsiTheme="minorHAnsi" w:eastAsiaTheme="minorHAnsi" w:cstheme="minorBidi"/>
          <w:b/>
          <w:bCs/>
          <w:color w:val="538135" w:themeColor="accent6" w:themeShade="BF"/>
        </w:rPr>
        <w:t>.</w:t>
      </w:r>
      <w:r>
        <w:rPr>
          <w:rFonts w:asciiTheme="minorHAnsi" w:hAnsiTheme="minorHAnsi" w:eastAsiaTheme="minorHAnsi" w:cstheme="minorBidi"/>
          <w:b/>
          <w:bCs/>
          <w:color w:val="538135" w:themeColor="accent6" w:themeShade="BF"/>
        </w:rPr>
        <w:t xml:space="preserve"> </w:t>
      </w:r>
    </w:p>
    <w:p w:rsidRPr="00E019C4" w:rsidR="001C1617" w:rsidP="001C1617" w:rsidRDefault="001C1617" w14:paraId="2158F84C" w14:textId="3E3E99AD">
      <w:pPr>
        <w:pStyle w:val="ListParagraph"/>
        <w:numPr>
          <w:ilvl w:val="0"/>
          <w:numId w:val="36"/>
        </w:numPr>
        <w:jc w:val="both"/>
        <w:rPr>
          <w:rFonts w:asciiTheme="minorHAnsi" w:hAnsiTheme="minorHAnsi" w:eastAsiaTheme="minorHAnsi" w:cstheme="minorBidi"/>
        </w:rPr>
      </w:pPr>
      <w:r w:rsidRPr="001C1617">
        <w:rPr>
          <w:rFonts w:asciiTheme="minorHAnsi" w:hAnsiTheme="minorHAnsi" w:eastAsiaTheme="minorHAnsi" w:cstheme="minorBidi"/>
          <w:b/>
          <w:bCs/>
          <w:color w:val="538135" w:themeColor="accent6" w:themeShade="BF"/>
        </w:rPr>
        <w:t xml:space="preserve">Review opportunity to reduce flow through dialysis machines to reduce water usage. </w:t>
      </w:r>
    </w:p>
    <w:p w:rsidRPr="005337EF" w:rsidR="00E019C4" w:rsidP="001C1617" w:rsidRDefault="00E019C4" w14:paraId="2F770A74" w14:textId="6BBBAFFC">
      <w:pPr>
        <w:pStyle w:val="ListParagraph"/>
        <w:numPr>
          <w:ilvl w:val="0"/>
          <w:numId w:val="36"/>
        </w:numPr>
        <w:jc w:val="both"/>
        <w:rPr>
          <w:rFonts w:asciiTheme="minorHAnsi" w:hAnsiTheme="minorHAnsi" w:eastAsiaTheme="minorHAnsi" w:cstheme="minorBidi"/>
        </w:rPr>
      </w:pPr>
      <w:r>
        <w:rPr>
          <w:rFonts w:asciiTheme="minorHAnsi" w:hAnsiTheme="minorHAnsi" w:eastAsiaTheme="minorHAnsi" w:cstheme="minorBidi"/>
          <w:b/>
          <w:bCs/>
          <w:color w:val="538135" w:themeColor="accent6" w:themeShade="BF"/>
        </w:rPr>
        <w:t>Agree KPI’s</w:t>
      </w:r>
      <w:r w:rsidR="00E67896">
        <w:rPr>
          <w:rFonts w:asciiTheme="minorHAnsi" w:hAnsiTheme="minorHAnsi" w:eastAsiaTheme="minorHAnsi" w:cstheme="minorBidi"/>
          <w:b/>
          <w:bCs/>
          <w:color w:val="538135" w:themeColor="accent6" w:themeShade="BF"/>
        </w:rPr>
        <w:t xml:space="preserve"> and metrics to support the roadmap to net zero.</w:t>
      </w:r>
    </w:p>
    <w:p w:rsidRPr="001C1617" w:rsidR="005337EF" w:rsidP="005337EF" w:rsidRDefault="005337EF" w14:paraId="1BBEC737" w14:textId="77777777">
      <w:pPr>
        <w:pStyle w:val="ListParagraph"/>
        <w:ind w:left="1080"/>
        <w:jc w:val="both"/>
        <w:rPr>
          <w:rFonts w:asciiTheme="minorHAnsi" w:hAnsiTheme="minorHAnsi" w:eastAsiaTheme="minorHAnsi" w:cstheme="minorBidi"/>
        </w:rPr>
      </w:pPr>
    </w:p>
    <w:p w:rsidRPr="006D7EFE" w:rsidR="001C1617" w:rsidP="001C1617" w:rsidRDefault="001C1617" w14:paraId="6D3A4AA8" w14:textId="77777777">
      <w:pPr>
        <w:pStyle w:val="ListParagraph"/>
        <w:ind w:left="375"/>
        <w:rPr>
          <w:b/>
          <w:bCs/>
          <w:color w:val="538135" w:themeColor="accent6" w:themeShade="BF"/>
          <w:sz w:val="24"/>
          <w:szCs w:val="24"/>
        </w:rPr>
      </w:pPr>
      <w:r w:rsidRPr="006D7EFE">
        <w:rPr>
          <w:b/>
          <w:bCs/>
          <w:color w:val="538135" w:themeColor="accent6" w:themeShade="BF"/>
          <w:sz w:val="24"/>
          <w:szCs w:val="24"/>
        </w:rPr>
        <w:t xml:space="preserve">Further recommendations </w:t>
      </w:r>
    </w:p>
    <w:p w:rsidRPr="001C1D28" w:rsidR="001C1617" w:rsidP="001C1617" w:rsidRDefault="001C1617" w14:paraId="704F0112" w14:textId="6F0C3938">
      <w:pPr>
        <w:ind w:left="284"/>
        <w:rPr>
          <w:rFonts w:ascii="Calibri" w:hAnsi="Calibri" w:eastAsia="Calibri" w:cs="Times New Roman"/>
        </w:rPr>
      </w:pPr>
      <w:r w:rsidRPr="001C1D28">
        <w:rPr>
          <w:rFonts w:ascii="Calibri" w:hAnsi="Calibri" w:eastAsia="Calibri" w:cs="Times New Roman"/>
        </w:rPr>
        <w:t>During the data collection and staff engagement phase of the project</w:t>
      </w:r>
      <w:r>
        <w:rPr>
          <w:rFonts w:ascii="Calibri" w:hAnsi="Calibri" w:eastAsia="Calibri" w:cs="Times New Roman"/>
        </w:rPr>
        <w:t>,</w:t>
      </w:r>
      <w:r w:rsidRPr="001C1D28">
        <w:rPr>
          <w:rFonts w:ascii="Calibri" w:hAnsi="Calibri" w:eastAsia="Calibri" w:cs="Times New Roman"/>
        </w:rPr>
        <w:t xml:space="preserve"> patient engagement </w:t>
      </w:r>
      <w:r>
        <w:rPr>
          <w:rFonts w:ascii="Calibri" w:hAnsi="Calibri" w:eastAsia="Calibri" w:cs="Times New Roman"/>
        </w:rPr>
        <w:t>was identified as an area that needed</w:t>
      </w:r>
      <w:r w:rsidR="006F5133">
        <w:rPr>
          <w:rFonts w:ascii="Calibri" w:hAnsi="Calibri" w:eastAsia="Calibri" w:cs="Times New Roman"/>
        </w:rPr>
        <w:t xml:space="preserve"> specific</w:t>
      </w:r>
      <w:r>
        <w:rPr>
          <w:rFonts w:ascii="Calibri" w:hAnsi="Calibri" w:eastAsia="Calibri" w:cs="Times New Roman"/>
        </w:rPr>
        <w:t xml:space="preserve"> focus. Gaining insight from our patients is key to drive any social value initiatives that populate the action plan. This also fits with the organisation’s strategic aim of providing</w:t>
      </w:r>
      <w:r w:rsidR="001D4966">
        <w:rPr>
          <w:rFonts w:ascii="Calibri" w:hAnsi="Calibri" w:eastAsia="Calibri" w:cs="Times New Roman"/>
        </w:rPr>
        <w:t xml:space="preserve"> a</w:t>
      </w:r>
      <w:r>
        <w:rPr>
          <w:rFonts w:ascii="Calibri" w:hAnsi="Calibri" w:eastAsia="Calibri" w:cs="Times New Roman"/>
        </w:rPr>
        <w:t xml:space="preserve"> patient centred service and creating a sustainable organisation. Engaging with patients will also allow the “what matters to you” to feature in the planning and delivery of haemodialysis in the future. The recommendation is:</w:t>
      </w:r>
    </w:p>
    <w:p w:rsidRPr="00A516C8" w:rsidR="001C1617" w:rsidP="001C1617" w:rsidRDefault="001C1617" w14:paraId="21E8FB10" w14:textId="77777777">
      <w:pPr>
        <w:pStyle w:val="ListParagraph"/>
        <w:numPr>
          <w:ilvl w:val="0"/>
          <w:numId w:val="10"/>
        </w:numPr>
        <w:jc w:val="both"/>
        <w:rPr>
          <w:rFonts w:asciiTheme="minorHAnsi" w:hAnsiTheme="minorHAnsi" w:eastAsiaTheme="minorHAnsi" w:cstheme="minorBidi"/>
          <w:b/>
          <w:bCs/>
          <w:color w:val="538135" w:themeColor="accent6" w:themeShade="BF"/>
        </w:rPr>
      </w:pPr>
      <w:r w:rsidRPr="00DE0905">
        <w:rPr>
          <w:rFonts w:asciiTheme="minorHAnsi" w:hAnsiTheme="minorHAnsi" w:eastAsiaTheme="minorHAnsi" w:cstheme="minorBidi"/>
          <w:b/>
          <w:bCs/>
          <w:color w:val="538135" w:themeColor="accent6" w:themeShade="BF"/>
        </w:rPr>
        <w:t>Conduct a patient survey to assess social value and thoughts on sustainable healthcare.</w:t>
      </w:r>
    </w:p>
    <w:p w:rsidRPr="00310D85" w:rsidR="00466076" w:rsidP="001C1617" w:rsidRDefault="00466076" w14:paraId="0B37EB78" w14:textId="188AA32C">
      <w:pPr>
        <w:pStyle w:val="ListParagraph"/>
        <w:ind w:left="1080"/>
        <w:jc w:val="both"/>
        <w:rPr>
          <w:rFonts w:ascii="Arial" w:hAnsi="Arial" w:cs="Arial"/>
          <w:bCs/>
        </w:rPr>
      </w:pPr>
    </w:p>
    <w:p w:rsidR="00310D85" w:rsidP="00310D85" w:rsidRDefault="00310D85" w14:paraId="3315F6CE" w14:textId="77777777">
      <w:pPr>
        <w:pStyle w:val="ListParagraph"/>
        <w:ind w:left="1080"/>
        <w:jc w:val="both"/>
        <w:rPr>
          <w:rFonts w:ascii="Arial" w:hAnsi="Arial" w:cs="Arial"/>
          <w:bCs/>
        </w:rPr>
      </w:pPr>
    </w:p>
    <w:p w:rsidR="005337EF" w:rsidP="00310D85" w:rsidRDefault="005337EF" w14:paraId="70B4408E" w14:textId="77777777">
      <w:pPr>
        <w:pStyle w:val="ListParagraph"/>
        <w:ind w:left="1080"/>
        <w:jc w:val="both"/>
        <w:rPr>
          <w:rFonts w:ascii="Arial" w:hAnsi="Arial" w:cs="Arial"/>
          <w:bCs/>
        </w:rPr>
      </w:pPr>
    </w:p>
    <w:p w:rsidR="005337EF" w:rsidP="00310D85" w:rsidRDefault="005337EF" w14:paraId="598854D3" w14:textId="77777777">
      <w:pPr>
        <w:pStyle w:val="ListParagraph"/>
        <w:ind w:left="1080"/>
        <w:jc w:val="both"/>
        <w:rPr>
          <w:rFonts w:ascii="Arial" w:hAnsi="Arial" w:cs="Arial"/>
          <w:bCs/>
        </w:rPr>
      </w:pPr>
    </w:p>
    <w:p w:rsidR="005337EF" w:rsidP="00310D85" w:rsidRDefault="005337EF" w14:paraId="33C04CF4" w14:textId="77777777">
      <w:pPr>
        <w:pStyle w:val="ListParagraph"/>
        <w:ind w:left="1080"/>
        <w:jc w:val="both"/>
        <w:rPr>
          <w:rFonts w:ascii="Arial" w:hAnsi="Arial" w:cs="Arial"/>
          <w:bCs/>
        </w:rPr>
      </w:pPr>
    </w:p>
    <w:p w:rsidR="005337EF" w:rsidP="00310D85" w:rsidRDefault="005337EF" w14:paraId="1DC1670F" w14:textId="77777777">
      <w:pPr>
        <w:pStyle w:val="ListParagraph"/>
        <w:ind w:left="1080"/>
        <w:jc w:val="both"/>
        <w:rPr>
          <w:rFonts w:ascii="Arial" w:hAnsi="Arial" w:cs="Arial"/>
          <w:bCs/>
        </w:rPr>
      </w:pPr>
    </w:p>
    <w:p w:rsidR="005337EF" w:rsidP="00310D85" w:rsidRDefault="005337EF" w14:paraId="295A7D25" w14:textId="77777777">
      <w:pPr>
        <w:pStyle w:val="ListParagraph"/>
        <w:ind w:left="1080"/>
        <w:jc w:val="both"/>
        <w:rPr>
          <w:rFonts w:ascii="Arial" w:hAnsi="Arial" w:cs="Arial"/>
          <w:bCs/>
        </w:rPr>
      </w:pPr>
    </w:p>
    <w:p w:rsidR="005337EF" w:rsidP="00310D85" w:rsidRDefault="005337EF" w14:paraId="356FADF3" w14:textId="77777777">
      <w:pPr>
        <w:pStyle w:val="ListParagraph"/>
        <w:ind w:left="1080"/>
        <w:jc w:val="both"/>
        <w:rPr>
          <w:rFonts w:ascii="Arial" w:hAnsi="Arial" w:cs="Arial"/>
          <w:bCs/>
        </w:rPr>
      </w:pPr>
    </w:p>
    <w:p w:rsidR="005337EF" w:rsidP="00310D85" w:rsidRDefault="005337EF" w14:paraId="451DE917" w14:textId="77777777">
      <w:pPr>
        <w:pStyle w:val="ListParagraph"/>
        <w:ind w:left="1080"/>
        <w:jc w:val="both"/>
        <w:rPr>
          <w:rFonts w:ascii="Arial" w:hAnsi="Arial" w:cs="Arial"/>
          <w:bCs/>
        </w:rPr>
      </w:pPr>
    </w:p>
    <w:p w:rsidR="005337EF" w:rsidP="00310D85" w:rsidRDefault="005337EF" w14:paraId="0B16A4DC" w14:textId="77777777">
      <w:pPr>
        <w:pStyle w:val="ListParagraph"/>
        <w:ind w:left="1080"/>
        <w:jc w:val="both"/>
        <w:rPr>
          <w:rFonts w:ascii="Arial" w:hAnsi="Arial" w:cs="Arial"/>
          <w:bCs/>
        </w:rPr>
      </w:pPr>
    </w:p>
    <w:p w:rsidR="005337EF" w:rsidP="00310D85" w:rsidRDefault="005337EF" w14:paraId="07EA9502" w14:textId="77777777">
      <w:pPr>
        <w:pStyle w:val="ListParagraph"/>
        <w:ind w:left="1080"/>
        <w:jc w:val="both"/>
        <w:rPr>
          <w:rFonts w:ascii="Arial" w:hAnsi="Arial" w:cs="Arial"/>
          <w:bCs/>
        </w:rPr>
      </w:pPr>
    </w:p>
    <w:p w:rsidR="005337EF" w:rsidP="00310D85" w:rsidRDefault="005337EF" w14:paraId="70E083D5" w14:textId="77777777">
      <w:pPr>
        <w:pStyle w:val="ListParagraph"/>
        <w:ind w:left="1080"/>
        <w:jc w:val="both"/>
        <w:rPr>
          <w:rFonts w:ascii="Arial" w:hAnsi="Arial" w:cs="Arial"/>
          <w:bCs/>
        </w:rPr>
      </w:pPr>
    </w:p>
    <w:p w:rsidR="005337EF" w:rsidP="00310D85" w:rsidRDefault="005337EF" w14:paraId="42FE23C1" w14:textId="77777777">
      <w:pPr>
        <w:pStyle w:val="ListParagraph"/>
        <w:ind w:left="1080"/>
        <w:jc w:val="both"/>
        <w:rPr>
          <w:rFonts w:ascii="Arial" w:hAnsi="Arial" w:cs="Arial"/>
          <w:bCs/>
        </w:rPr>
      </w:pPr>
    </w:p>
    <w:p w:rsidR="005337EF" w:rsidP="00310D85" w:rsidRDefault="005337EF" w14:paraId="05411431" w14:textId="77777777">
      <w:pPr>
        <w:pStyle w:val="ListParagraph"/>
        <w:ind w:left="1080"/>
        <w:jc w:val="both"/>
        <w:rPr>
          <w:rFonts w:ascii="Arial" w:hAnsi="Arial" w:cs="Arial"/>
          <w:bCs/>
        </w:rPr>
      </w:pPr>
    </w:p>
    <w:p w:rsidR="005337EF" w:rsidP="00310D85" w:rsidRDefault="005337EF" w14:paraId="04879554" w14:textId="77777777">
      <w:pPr>
        <w:pStyle w:val="ListParagraph"/>
        <w:ind w:left="1080"/>
        <w:jc w:val="both"/>
        <w:rPr>
          <w:rFonts w:ascii="Arial" w:hAnsi="Arial" w:cs="Arial"/>
          <w:bCs/>
        </w:rPr>
      </w:pPr>
    </w:p>
    <w:p w:rsidR="005337EF" w:rsidP="00310D85" w:rsidRDefault="005337EF" w14:paraId="07319E00" w14:textId="77777777">
      <w:pPr>
        <w:pStyle w:val="ListParagraph"/>
        <w:ind w:left="1080"/>
        <w:jc w:val="both"/>
        <w:rPr>
          <w:rFonts w:ascii="Arial" w:hAnsi="Arial" w:cs="Arial"/>
          <w:bCs/>
        </w:rPr>
      </w:pPr>
    </w:p>
    <w:p w:rsidR="005337EF" w:rsidP="00310D85" w:rsidRDefault="005337EF" w14:paraId="7B2E2BE3" w14:textId="77777777">
      <w:pPr>
        <w:pStyle w:val="ListParagraph"/>
        <w:ind w:left="1080"/>
        <w:jc w:val="both"/>
        <w:rPr>
          <w:rFonts w:ascii="Arial" w:hAnsi="Arial" w:cs="Arial"/>
          <w:bCs/>
        </w:rPr>
      </w:pPr>
    </w:p>
    <w:p w:rsidR="005337EF" w:rsidP="00310D85" w:rsidRDefault="005337EF" w14:paraId="546D8FEC" w14:textId="77777777">
      <w:pPr>
        <w:pStyle w:val="ListParagraph"/>
        <w:ind w:left="1080"/>
        <w:jc w:val="both"/>
        <w:rPr>
          <w:rFonts w:ascii="Arial" w:hAnsi="Arial" w:cs="Arial"/>
          <w:bCs/>
        </w:rPr>
      </w:pPr>
    </w:p>
    <w:p w:rsidR="005337EF" w:rsidP="00310D85" w:rsidRDefault="005337EF" w14:paraId="04ECD299" w14:textId="77777777">
      <w:pPr>
        <w:pStyle w:val="ListParagraph"/>
        <w:ind w:left="1080"/>
        <w:jc w:val="both"/>
        <w:rPr>
          <w:rFonts w:ascii="Arial" w:hAnsi="Arial" w:cs="Arial"/>
          <w:bCs/>
        </w:rPr>
      </w:pPr>
    </w:p>
    <w:p w:rsidR="005337EF" w:rsidP="00310D85" w:rsidRDefault="005337EF" w14:paraId="25FAF7F0" w14:textId="77777777">
      <w:pPr>
        <w:pStyle w:val="ListParagraph"/>
        <w:ind w:left="1080"/>
        <w:jc w:val="both"/>
        <w:rPr>
          <w:rFonts w:ascii="Arial" w:hAnsi="Arial" w:cs="Arial"/>
          <w:bCs/>
        </w:rPr>
      </w:pPr>
    </w:p>
    <w:p w:rsidR="005337EF" w:rsidP="00310D85" w:rsidRDefault="005337EF" w14:paraId="1DA420D0" w14:textId="77777777">
      <w:pPr>
        <w:pStyle w:val="ListParagraph"/>
        <w:ind w:left="1080"/>
        <w:jc w:val="both"/>
        <w:rPr>
          <w:rFonts w:ascii="Arial" w:hAnsi="Arial" w:cs="Arial"/>
          <w:bCs/>
        </w:rPr>
      </w:pPr>
    </w:p>
    <w:p w:rsidR="005337EF" w:rsidP="00310D85" w:rsidRDefault="005337EF" w14:paraId="51447565" w14:textId="77777777">
      <w:pPr>
        <w:pStyle w:val="ListParagraph"/>
        <w:ind w:left="1080"/>
        <w:jc w:val="both"/>
        <w:rPr>
          <w:rFonts w:ascii="Arial" w:hAnsi="Arial" w:cs="Arial"/>
          <w:bCs/>
        </w:rPr>
      </w:pPr>
    </w:p>
    <w:p w:rsidR="005337EF" w:rsidP="00310D85" w:rsidRDefault="005337EF" w14:paraId="41A36742" w14:textId="77777777">
      <w:pPr>
        <w:pStyle w:val="ListParagraph"/>
        <w:ind w:left="1080"/>
        <w:jc w:val="both"/>
        <w:rPr>
          <w:rFonts w:ascii="Arial" w:hAnsi="Arial" w:cs="Arial"/>
          <w:bCs/>
        </w:rPr>
      </w:pPr>
    </w:p>
    <w:p w:rsidRPr="00254407" w:rsidR="005337EF" w:rsidP="00310D85" w:rsidRDefault="005337EF" w14:paraId="56105FE7" w14:textId="77777777">
      <w:pPr>
        <w:pStyle w:val="ListParagraph"/>
        <w:ind w:left="1080"/>
        <w:jc w:val="both"/>
        <w:rPr>
          <w:rFonts w:ascii="Arial" w:hAnsi="Arial" w:cs="Arial"/>
          <w:bCs/>
        </w:rPr>
      </w:pPr>
    </w:p>
    <w:p w:rsidRPr="00254407" w:rsidR="009226D5" w:rsidP="00254407" w:rsidRDefault="00D82BC6" w14:paraId="3117424A" w14:textId="2E129234">
      <w:pPr>
        <w:shd w:val="clear" w:color="auto" w:fill="92D050"/>
        <w:jc w:val="center"/>
        <w:rPr>
          <w:rFonts w:cstheme="minorHAnsi"/>
          <w:b/>
          <w:sz w:val="40"/>
          <w:szCs w:val="40"/>
        </w:rPr>
      </w:pPr>
      <w:r>
        <w:rPr>
          <w:rFonts w:cstheme="minorHAnsi"/>
          <w:b/>
          <w:sz w:val="40"/>
          <w:szCs w:val="40"/>
        </w:rPr>
        <w:lastRenderedPageBreak/>
        <w:t xml:space="preserve">2- </w:t>
      </w:r>
      <w:r w:rsidRPr="00254407" w:rsidR="009226D5">
        <w:rPr>
          <w:rFonts w:cstheme="minorHAnsi"/>
          <w:b/>
          <w:sz w:val="40"/>
          <w:szCs w:val="40"/>
        </w:rPr>
        <w:t xml:space="preserve">In-Centre Haemodialysis Care Pathway </w:t>
      </w:r>
      <w:r w:rsidR="003C0748">
        <w:rPr>
          <w:rFonts w:cstheme="minorHAnsi"/>
          <w:b/>
          <w:sz w:val="40"/>
          <w:szCs w:val="40"/>
        </w:rPr>
        <w:t>Evaluation</w:t>
      </w:r>
      <w:r w:rsidRPr="00254407" w:rsidR="005139F1">
        <w:rPr>
          <w:rFonts w:cstheme="minorHAnsi"/>
          <w:b/>
          <w:sz w:val="40"/>
          <w:szCs w:val="40"/>
        </w:rPr>
        <w:t xml:space="preserve"> and Carbon im</w:t>
      </w:r>
      <w:r w:rsidRPr="00254407" w:rsidR="006408D0">
        <w:rPr>
          <w:rFonts w:cstheme="minorHAnsi"/>
          <w:b/>
          <w:sz w:val="40"/>
          <w:szCs w:val="40"/>
        </w:rPr>
        <w:t>pact report</w:t>
      </w:r>
    </w:p>
    <w:p w:rsidRPr="00C764B5" w:rsidR="00232030" w:rsidP="00C764B5" w:rsidRDefault="00B07351" w14:paraId="464952E4" w14:textId="61AC4526">
      <w:pPr>
        <w:pStyle w:val="ListParagraph"/>
        <w:numPr>
          <w:ilvl w:val="1"/>
          <w:numId w:val="27"/>
        </w:numPr>
        <w:jc w:val="both"/>
        <w:rPr>
          <w:rFonts w:cstheme="minorHAnsi"/>
          <w:b/>
          <w:color w:val="538135" w:themeColor="accent6" w:themeShade="BF"/>
          <w:sz w:val="28"/>
          <w:szCs w:val="28"/>
        </w:rPr>
      </w:pPr>
      <w:r w:rsidRPr="00C764B5">
        <w:rPr>
          <w:rFonts w:cstheme="minorHAnsi"/>
          <w:b/>
          <w:color w:val="538135" w:themeColor="accent6" w:themeShade="BF"/>
          <w:sz w:val="28"/>
          <w:szCs w:val="28"/>
        </w:rPr>
        <w:t>Introduction and reason for study</w:t>
      </w:r>
    </w:p>
    <w:p w:rsidRPr="00144127" w:rsidR="002978C9" w:rsidP="001E3C35" w:rsidRDefault="002978C9" w14:paraId="0593B0CC" w14:textId="5B2ADA05">
      <w:pPr>
        <w:ind w:left="360"/>
        <w:jc w:val="both"/>
        <w:rPr>
          <w:rFonts w:cstheme="minorHAnsi"/>
          <w:bCs/>
        </w:rPr>
      </w:pPr>
      <w:r w:rsidRPr="00144127">
        <w:rPr>
          <w:rFonts w:cstheme="minorHAnsi"/>
          <w:bCs/>
        </w:rPr>
        <w:t xml:space="preserve">Sheffield Teaching Hospitals NHS Foundation Trust (STH) has developed a carbon impact report with </w:t>
      </w:r>
      <w:r w:rsidR="000F5A2E">
        <w:rPr>
          <w:rFonts w:cstheme="minorHAnsi"/>
          <w:bCs/>
        </w:rPr>
        <w:t>the</w:t>
      </w:r>
      <w:r w:rsidRPr="00144127">
        <w:rPr>
          <w:rFonts w:cstheme="minorHAnsi"/>
          <w:bCs/>
        </w:rPr>
        <w:t xml:space="preserve"> aim of minimising the environmental impact of its renal services.</w:t>
      </w:r>
    </w:p>
    <w:p w:rsidRPr="00144127" w:rsidR="002978C9" w:rsidP="001E3C35" w:rsidRDefault="002978C9" w14:paraId="0DF22D7F" w14:textId="77777777">
      <w:pPr>
        <w:ind w:left="360"/>
        <w:jc w:val="both"/>
        <w:rPr>
          <w:rFonts w:cstheme="minorHAnsi"/>
          <w:bCs/>
        </w:rPr>
      </w:pPr>
      <w:r w:rsidRPr="00144127">
        <w:rPr>
          <w:rFonts w:cstheme="minorHAnsi"/>
          <w:bCs/>
        </w:rPr>
        <w:t>The aims of this project were to:</w:t>
      </w:r>
    </w:p>
    <w:p w:rsidRPr="00144127" w:rsidR="002978C9" w:rsidP="001E3C35" w:rsidRDefault="002978C9" w14:paraId="1EC81B22" w14:textId="640813BA">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Undertake a comprehensive evaluation to understand the environmental impact of Haemodialysis (HD) delivery for services at Sheffield Teaching Hospitals NHS Foundation Trust.</w:t>
      </w:r>
    </w:p>
    <w:p w:rsidRPr="00144127" w:rsidR="002978C9" w:rsidP="001E3C35" w:rsidRDefault="002978C9" w14:paraId="7DC5B174" w14:textId="7B6B9C9E">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To use the available toolkit to develop metrics and a baseline measurement and to identify opportunities for reduction</w:t>
      </w:r>
      <w:r w:rsidR="00722905">
        <w:rPr>
          <w:rFonts w:asciiTheme="minorHAnsi" w:hAnsiTheme="minorHAnsi" w:cstheme="minorHAnsi"/>
          <w:bCs/>
        </w:rPr>
        <w:t xml:space="preserve"> in carbon intensity of the service</w:t>
      </w:r>
      <w:r w:rsidRPr="00144127">
        <w:rPr>
          <w:rFonts w:asciiTheme="minorHAnsi" w:hAnsiTheme="minorHAnsi" w:cstheme="minorHAnsi"/>
          <w:bCs/>
        </w:rPr>
        <w:t>.</w:t>
      </w:r>
    </w:p>
    <w:p w:rsidRPr="00144127" w:rsidR="002978C9" w:rsidP="001E3C35" w:rsidRDefault="002978C9" w14:paraId="2435A1A2" w14:textId="6F379668">
      <w:pPr>
        <w:pStyle w:val="ListParagraph"/>
        <w:numPr>
          <w:ilvl w:val="0"/>
          <w:numId w:val="4"/>
        </w:numPr>
        <w:jc w:val="both"/>
        <w:rPr>
          <w:rFonts w:asciiTheme="minorHAnsi" w:hAnsiTheme="minorHAnsi" w:cstheme="minorHAnsi"/>
          <w:bCs/>
        </w:rPr>
      </w:pPr>
      <w:r w:rsidRPr="00144127">
        <w:rPr>
          <w:rFonts w:asciiTheme="minorHAnsi" w:hAnsiTheme="minorHAnsi" w:cstheme="minorHAnsi"/>
          <w:bCs/>
        </w:rPr>
        <w:t xml:space="preserve">Development of a more sustainable care pathway for patient </w:t>
      </w:r>
      <w:r w:rsidR="00C15FD0">
        <w:rPr>
          <w:rFonts w:asciiTheme="minorHAnsi" w:hAnsiTheme="minorHAnsi" w:cstheme="minorHAnsi"/>
          <w:bCs/>
        </w:rPr>
        <w:t>with</w:t>
      </w:r>
      <w:r w:rsidRPr="00144127">
        <w:rPr>
          <w:rFonts w:asciiTheme="minorHAnsi" w:hAnsiTheme="minorHAnsi" w:cstheme="minorHAnsi"/>
          <w:bCs/>
        </w:rPr>
        <w:t xml:space="preserve"> End-</w:t>
      </w:r>
      <w:r w:rsidR="00C15FD0">
        <w:rPr>
          <w:rFonts w:asciiTheme="minorHAnsi" w:hAnsiTheme="minorHAnsi" w:cstheme="minorHAnsi"/>
          <w:bCs/>
        </w:rPr>
        <w:t>S</w:t>
      </w:r>
      <w:r w:rsidRPr="00144127">
        <w:rPr>
          <w:rFonts w:asciiTheme="minorHAnsi" w:hAnsiTheme="minorHAnsi" w:cstheme="minorHAnsi"/>
          <w:bCs/>
        </w:rPr>
        <w:t xml:space="preserve">tage </w:t>
      </w:r>
      <w:r w:rsidR="00C15FD0">
        <w:rPr>
          <w:rFonts w:asciiTheme="minorHAnsi" w:hAnsiTheme="minorHAnsi" w:cstheme="minorHAnsi"/>
          <w:bCs/>
        </w:rPr>
        <w:t>K</w:t>
      </w:r>
      <w:r w:rsidRPr="00144127">
        <w:rPr>
          <w:rFonts w:asciiTheme="minorHAnsi" w:hAnsiTheme="minorHAnsi" w:cstheme="minorHAnsi"/>
          <w:bCs/>
        </w:rPr>
        <w:t xml:space="preserve">idney </w:t>
      </w:r>
      <w:r w:rsidR="00C15FD0">
        <w:rPr>
          <w:rFonts w:asciiTheme="minorHAnsi" w:hAnsiTheme="minorHAnsi" w:cstheme="minorHAnsi"/>
          <w:bCs/>
        </w:rPr>
        <w:t>D</w:t>
      </w:r>
      <w:r w:rsidRPr="00144127">
        <w:rPr>
          <w:rFonts w:asciiTheme="minorHAnsi" w:hAnsiTheme="minorHAnsi" w:cstheme="minorHAnsi"/>
          <w:bCs/>
        </w:rPr>
        <w:t>isease</w:t>
      </w:r>
      <w:r w:rsidR="00C15FD0">
        <w:rPr>
          <w:rFonts w:asciiTheme="minorHAnsi" w:hAnsiTheme="minorHAnsi" w:cstheme="minorHAnsi"/>
          <w:bCs/>
        </w:rPr>
        <w:t xml:space="preserve"> </w:t>
      </w:r>
      <w:r w:rsidR="007549E8">
        <w:rPr>
          <w:rFonts w:asciiTheme="minorHAnsi" w:hAnsiTheme="minorHAnsi" w:cstheme="minorHAnsi"/>
          <w:bCs/>
        </w:rPr>
        <w:t>(ESKD</w:t>
      </w:r>
      <w:r w:rsidR="00C15FD0">
        <w:rPr>
          <w:rFonts w:asciiTheme="minorHAnsi" w:hAnsiTheme="minorHAnsi" w:cstheme="minorHAnsi"/>
          <w:bCs/>
        </w:rPr>
        <w:t>)</w:t>
      </w:r>
      <w:r w:rsidRPr="00144127">
        <w:rPr>
          <w:rFonts w:asciiTheme="minorHAnsi" w:hAnsiTheme="minorHAnsi" w:cstheme="minorHAnsi"/>
          <w:bCs/>
        </w:rPr>
        <w:t>.</w:t>
      </w:r>
    </w:p>
    <w:p w:rsidRPr="0043575B" w:rsidR="002978C9" w:rsidP="001E3C35" w:rsidRDefault="002978C9" w14:paraId="38868C4F" w14:textId="153517B5">
      <w:pPr>
        <w:ind w:left="284"/>
        <w:jc w:val="both"/>
        <w:rPr>
          <w:rFonts w:cstheme="minorHAnsi"/>
          <w:bCs/>
          <w:sz w:val="10"/>
          <w:szCs w:val="10"/>
        </w:rPr>
      </w:pPr>
      <w:r w:rsidRPr="00144127">
        <w:rPr>
          <w:rFonts w:cstheme="minorHAnsi"/>
          <w:bCs/>
        </w:rPr>
        <w:t xml:space="preserve">This report includes the </w:t>
      </w:r>
      <w:r w:rsidR="003C0748">
        <w:rPr>
          <w:rFonts w:cstheme="minorHAnsi"/>
          <w:bCs/>
        </w:rPr>
        <w:t>evaluation</w:t>
      </w:r>
      <w:r w:rsidRPr="00144127">
        <w:rPr>
          <w:rFonts w:cstheme="minorHAnsi"/>
          <w:bCs/>
        </w:rPr>
        <w:t xml:space="preserve"> of outpatient In-</w:t>
      </w:r>
      <w:r w:rsidR="007549E8">
        <w:rPr>
          <w:rFonts w:cstheme="minorHAnsi"/>
          <w:bCs/>
        </w:rPr>
        <w:t>C</w:t>
      </w:r>
      <w:r w:rsidRPr="00144127">
        <w:rPr>
          <w:rFonts w:cstheme="minorHAnsi"/>
          <w:bCs/>
        </w:rPr>
        <w:t>entre Haemodialysis</w:t>
      </w:r>
      <w:r>
        <w:rPr>
          <w:rFonts w:cstheme="minorHAnsi"/>
          <w:bCs/>
        </w:rPr>
        <w:t xml:space="preserve"> (ICHD)</w:t>
      </w:r>
      <w:r w:rsidRPr="00144127">
        <w:rPr>
          <w:rFonts w:cstheme="minorHAnsi"/>
          <w:bCs/>
        </w:rPr>
        <w:t xml:space="preserve"> services at the Northern General Hospital including the</w:t>
      </w:r>
      <w:r w:rsidR="006661C6">
        <w:rPr>
          <w:rFonts w:cstheme="minorHAnsi"/>
          <w:bCs/>
        </w:rPr>
        <w:t xml:space="preserve"> three</w:t>
      </w:r>
      <w:r w:rsidRPr="00144127">
        <w:rPr>
          <w:rFonts w:cstheme="minorHAnsi"/>
          <w:bCs/>
        </w:rPr>
        <w:t xml:space="preserve"> wards</w:t>
      </w:r>
      <w:r w:rsidR="003F2E80">
        <w:rPr>
          <w:rFonts w:cstheme="minorHAnsi"/>
          <w:bCs/>
        </w:rPr>
        <w:t>,</w:t>
      </w:r>
      <w:r w:rsidRPr="00144127">
        <w:rPr>
          <w:rFonts w:cstheme="minorHAnsi"/>
          <w:bCs/>
        </w:rPr>
        <w:t xml:space="preserve"> Renal Unit G, Peter Moorhead unit and Vickers 1</w:t>
      </w:r>
      <w:r w:rsidR="00263AE4">
        <w:rPr>
          <w:rFonts w:cstheme="minorHAnsi"/>
          <w:bCs/>
        </w:rPr>
        <w:t xml:space="preserve">. It was undertaken in </w:t>
      </w:r>
      <w:r w:rsidR="00B3292A">
        <w:rPr>
          <w:rFonts w:cstheme="minorHAnsi"/>
          <w:bCs/>
        </w:rPr>
        <w:t xml:space="preserve">compliance with the guidance on appraising sustainability of care </w:t>
      </w:r>
      <w:r w:rsidR="0043575B">
        <w:rPr>
          <w:rFonts w:cstheme="minorHAnsi"/>
          <w:bCs/>
        </w:rPr>
        <w:t>pathways</w:t>
      </w:r>
      <w:r w:rsidR="0043575B">
        <w:rPr>
          <w:rFonts w:cstheme="minorHAnsi"/>
          <w:bCs/>
          <w:sz w:val="10"/>
          <w:szCs w:val="10"/>
        </w:rPr>
        <w:t>2.</w:t>
      </w:r>
    </w:p>
    <w:p w:rsidR="0088371E" w:rsidP="001E3C35" w:rsidRDefault="00C80944" w14:paraId="1A2DA79F" w14:textId="61F17EC8">
      <w:pPr>
        <w:ind w:left="284"/>
        <w:jc w:val="both"/>
      </w:pPr>
      <w:r w:rsidRPr="0088371E">
        <w:t xml:space="preserve">It is hoped that the findings from this </w:t>
      </w:r>
      <w:r w:rsidR="003C0748">
        <w:t>evaluation</w:t>
      </w:r>
      <w:r w:rsidRPr="0088371E">
        <w:t>, in addition to the implementation of outlined recommendations, will help support the NHS with its carbon reduction targets, as detailed below:</w:t>
      </w:r>
    </w:p>
    <w:p w:rsidRPr="00E50CC1" w:rsidR="00E50CC1" w:rsidP="001E3C35" w:rsidRDefault="00C80944" w14:paraId="51F336E6" w14:textId="77777777">
      <w:pPr>
        <w:pStyle w:val="ListParagraph"/>
        <w:numPr>
          <w:ilvl w:val="0"/>
          <w:numId w:val="11"/>
        </w:numPr>
        <w:ind w:left="993" w:hanging="220"/>
        <w:jc w:val="both"/>
      </w:pPr>
      <w:r w:rsidRPr="0088371E">
        <w:t xml:space="preserve">“The NHS aims to achieve carbon net zero emissions by 2045 (with an 80% reduction by 2036 – 2039) </w:t>
      </w:r>
    </w:p>
    <w:p w:rsidR="009D2D04" w:rsidP="00D82023" w:rsidRDefault="00C80944" w14:paraId="0401089F" w14:textId="36B475C2">
      <w:pPr>
        <w:pStyle w:val="ListParagraph"/>
        <w:numPr>
          <w:ilvl w:val="0"/>
          <w:numId w:val="11"/>
        </w:numPr>
        <w:ind w:left="993" w:hanging="220"/>
        <w:jc w:val="both"/>
      </w:pPr>
      <w:r w:rsidRPr="0088371E">
        <w:t xml:space="preserve"> Ensuring that suppliers decarbonise their own processes, the NHS will no longer purchase from suppliers who do not meet or exceed NHS outlined targets, by the end of the decade.”</w:t>
      </w:r>
      <w:r w:rsidR="00D82023">
        <w:t xml:space="preserve">  </w:t>
      </w:r>
    </w:p>
    <w:p w:rsidR="00C80944" w:rsidP="009D2D04" w:rsidRDefault="000B2E1D" w14:paraId="21DDF1D1" w14:textId="4C16066B">
      <w:pPr>
        <w:pStyle w:val="ListParagraph"/>
        <w:ind w:left="993"/>
        <w:jc w:val="both"/>
        <w:rPr>
          <w:rStyle w:val="Hyperlink"/>
          <w:sz w:val="10"/>
          <w:szCs w:val="10"/>
        </w:rPr>
      </w:pPr>
      <w:hyperlink w:history="1" r:id="rId10">
        <w:r w:rsidRPr="00D82023" w:rsidR="0043575B">
          <w:rPr>
            <w:rStyle w:val="Hyperlink"/>
            <w:sz w:val="10"/>
            <w:szCs w:val="10"/>
          </w:rPr>
          <w:t>Sustainable Care Pathways Guidance | Sustainable Healthcare Coalition (shcoalition.org)</w:t>
        </w:r>
      </w:hyperlink>
    </w:p>
    <w:p w:rsidRPr="00D82023" w:rsidR="00EC1D23" w:rsidP="009D2D04" w:rsidRDefault="00EC1D23" w14:paraId="3E822379" w14:textId="77777777">
      <w:pPr>
        <w:pStyle w:val="ListParagraph"/>
        <w:ind w:left="993"/>
        <w:jc w:val="both"/>
      </w:pPr>
    </w:p>
    <w:p w:rsidRPr="006353E0" w:rsidR="00C80944" w:rsidP="00E2234A" w:rsidRDefault="00B24D89" w14:paraId="45D8F624" w14:textId="6E8E462B">
      <w:pPr>
        <w:pStyle w:val="ListParagraph"/>
        <w:numPr>
          <w:ilvl w:val="1"/>
          <w:numId w:val="27"/>
        </w:numPr>
        <w:jc w:val="both"/>
        <w:rPr>
          <w:rFonts w:ascii="Arial" w:hAnsi="Arial" w:cs="Arial"/>
          <w:b/>
          <w:bCs/>
          <w:color w:val="538135" w:themeColor="accent6" w:themeShade="BF"/>
          <w:sz w:val="28"/>
          <w:szCs w:val="28"/>
        </w:rPr>
      </w:pPr>
      <w:r w:rsidRPr="006353E0">
        <w:rPr>
          <w:b/>
          <w:bCs/>
          <w:color w:val="538135" w:themeColor="accent6" w:themeShade="BF"/>
          <w:sz w:val="28"/>
          <w:szCs w:val="28"/>
        </w:rPr>
        <w:t>Scope</w:t>
      </w:r>
    </w:p>
    <w:p w:rsidR="00B24D89" w:rsidP="00EC1D23" w:rsidRDefault="00C43177" w14:paraId="075E1878" w14:textId="7425AF30">
      <w:pPr>
        <w:ind w:left="360"/>
        <w:jc w:val="both"/>
        <w:rPr>
          <w:rFonts w:cstheme="minorHAnsi"/>
          <w:bCs/>
        </w:rPr>
      </w:pPr>
      <w:r>
        <w:rPr>
          <w:rFonts w:cstheme="minorHAnsi"/>
          <w:bCs/>
        </w:rPr>
        <w:t xml:space="preserve">This </w:t>
      </w:r>
      <w:r w:rsidR="003C0748">
        <w:rPr>
          <w:rFonts w:cstheme="minorHAnsi"/>
          <w:bCs/>
        </w:rPr>
        <w:t>evaluation</w:t>
      </w:r>
      <w:r>
        <w:rPr>
          <w:rFonts w:cstheme="minorHAnsi"/>
          <w:bCs/>
        </w:rPr>
        <w:t xml:space="preserve"> aims to </w:t>
      </w:r>
      <w:r w:rsidR="00050865">
        <w:rPr>
          <w:rFonts w:cstheme="minorHAnsi"/>
          <w:bCs/>
        </w:rPr>
        <w:t xml:space="preserve">improve the </w:t>
      </w:r>
      <w:r>
        <w:rPr>
          <w:rFonts w:cstheme="minorHAnsi"/>
          <w:bCs/>
        </w:rPr>
        <w:t>understand</w:t>
      </w:r>
      <w:r w:rsidR="00EC1D23">
        <w:rPr>
          <w:rFonts w:cstheme="minorHAnsi"/>
          <w:bCs/>
        </w:rPr>
        <w:t>ing</w:t>
      </w:r>
      <w:r>
        <w:rPr>
          <w:rFonts w:cstheme="minorHAnsi"/>
          <w:bCs/>
        </w:rPr>
        <w:t xml:space="preserve"> the environmental impact of Haemodialysis at </w:t>
      </w:r>
      <w:r w:rsidR="00D103B9">
        <w:rPr>
          <w:rFonts w:cstheme="minorHAnsi"/>
          <w:bCs/>
        </w:rPr>
        <w:t>STH.</w:t>
      </w:r>
    </w:p>
    <w:p w:rsidR="002C03A8" w:rsidP="001E3C35" w:rsidRDefault="002C03A8" w14:paraId="50C82D3C" w14:textId="5143B4C8">
      <w:pPr>
        <w:ind w:left="360"/>
        <w:jc w:val="both"/>
        <w:rPr>
          <w:rFonts w:cstheme="minorHAnsi"/>
          <w:bCs/>
        </w:rPr>
      </w:pPr>
      <w:r>
        <w:rPr>
          <w:rFonts w:cstheme="minorHAnsi"/>
          <w:bCs/>
        </w:rPr>
        <w:t xml:space="preserve">The </w:t>
      </w:r>
      <w:r w:rsidR="00E468A1">
        <w:rPr>
          <w:rFonts w:cstheme="minorHAnsi"/>
          <w:bCs/>
        </w:rPr>
        <w:t>Green</w:t>
      </w:r>
      <w:r w:rsidR="00050865">
        <w:rPr>
          <w:rFonts w:cstheme="minorHAnsi"/>
          <w:bCs/>
        </w:rPr>
        <w:t xml:space="preserve"> H</w:t>
      </w:r>
      <w:r w:rsidR="00E468A1">
        <w:rPr>
          <w:rFonts w:cstheme="minorHAnsi"/>
          <w:bCs/>
        </w:rPr>
        <w:t>ouse</w:t>
      </w:r>
      <w:r>
        <w:rPr>
          <w:rFonts w:cstheme="minorHAnsi"/>
          <w:bCs/>
        </w:rPr>
        <w:t xml:space="preserve"> Gas </w:t>
      </w:r>
      <w:r w:rsidR="0028544A">
        <w:rPr>
          <w:rFonts w:cstheme="minorHAnsi"/>
          <w:bCs/>
        </w:rPr>
        <w:t>(GHG</w:t>
      </w:r>
      <w:r>
        <w:rPr>
          <w:rFonts w:cstheme="minorHAnsi"/>
          <w:bCs/>
        </w:rPr>
        <w:t>) emissions, referred to as the carbon footprint</w:t>
      </w:r>
      <w:r w:rsidR="007A0BE7">
        <w:rPr>
          <w:rFonts w:cstheme="minorHAnsi"/>
          <w:bCs/>
        </w:rPr>
        <w:t xml:space="preserve"> w</w:t>
      </w:r>
      <w:r w:rsidR="007C1042">
        <w:rPr>
          <w:rFonts w:cstheme="minorHAnsi"/>
          <w:bCs/>
        </w:rPr>
        <w:t>ere</w:t>
      </w:r>
      <w:r w:rsidR="007A0BE7">
        <w:rPr>
          <w:rFonts w:cstheme="minorHAnsi"/>
          <w:bCs/>
        </w:rPr>
        <w:t xml:space="preserve"> investigated for the three wards at STH that provide Haemodialysis</w:t>
      </w:r>
      <w:r w:rsidR="00AD13B5">
        <w:rPr>
          <w:rFonts w:cstheme="minorHAnsi"/>
          <w:bCs/>
        </w:rPr>
        <w:t>.</w:t>
      </w:r>
    </w:p>
    <w:p w:rsidRPr="00617FC5" w:rsidR="006545D0" w:rsidP="00617FC5" w:rsidRDefault="006545D0" w14:paraId="0BC27EEE" w14:textId="0ED94639">
      <w:pPr>
        <w:pStyle w:val="ListParagraph"/>
        <w:numPr>
          <w:ilvl w:val="1"/>
          <w:numId w:val="27"/>
        </w:numPr>
        <w:jc w:val="both"/>
        <w:rPr>
          <w:rFonts w:cstheme="minorHAnsi"/>
          <w:b/>
          <w:color w:val="538135" w:themeColor="accent6" w:themeShade="BF"/>
          <w:sz w:val="24"/>
          <w:szCs w:val="24"/>
        </w:rPr>
      </w:pPr>
      <w:r w:rsidRPr="00617FC5">
        <w:rPr>
          <w:rFonts w:cstheme="minorHAnsi"/>
          <w:b/>
          <w:color w:val="538135" w:themeColor="accent6" w:themeShade="BF"/>
          <w:sz w:val="24"/>
          <w:szCs w:val="24"/>
        </w:rPr>
        <w:t xml:space="preserve">Description </w:t>
      </w:r>
      <w:r w:rsidRPr="00617FC5" w:rsidR="003F2E80">
        <w:rPr>
          <w:rFonts w:cstheme="minorHAnsi"/>
          <w:b/>
          <w:color w:val="538135" w:themeColor="accent6" w:themeShade="BF"/>
          <w:sz w:val="24"/>
          <w:szCs w:val="24"/>
        </w:rPr>
        <w:t xml:space="preserve">of </w:t>
      </w:r>
      <w:r w:rsidR="003F2E80">
        <w:rPr>
          <w:rFonts w:cstheme="minorHAnsi"/>
          <w:b/>
          <w:color w:val="538135" w:themeColor="accent6" w:themeShade="BF"/>
          <w:sz w:val="24"/>
          <w:szCs w:val="24"/>
        </w:rPr>
        <w:t xml:space="preserve">the </w:t>
      </w:r>
      <w:r w:rsidRPr="00617FC5">
        <w:rPr>
          <w:rFonts w:cstheme="minorHAnsi"/>
          <w:b/>
          <w:color w:val="538135" w:themeColor="accent6" w:themeShade="BF"/>
          <w:sz w:val="24"/>
          <w:szCs w:val="24"/>
        </w:rPr>
        <w:t>care pathway</w:t>
      </w:r>
    </w:p>
    <w:p w:rsidR="005C01B1" w:rsidP="003F2E80" w:rsidRDefault="003122C0" w14:paraId="341C8DF0" w14:textId="55820C2F">
      <w:pPr>
        <w:ind w:left="360"/>
        <w:jc w:val="both"/>
        <w:rPr>
          <w:rFonts w:cstheme="minorHAnsi"/>
          <w:bCs/>
        </w:rPr>
      </w:pPr>
      <w:r w:rsidRPr="003122C0">
        <w:rPr>
          <w:rFonts w:cstheme="minorHAnsi"/>
          <w:bCs/>
        </w:rPr>
        <w:t xml:space="preserve">The scope of this </w:t>
      </w:r>
      <w:r w:rsidR="003C0748">
        <w:rPr>
          <w:rFonts w:cstheme="minorHAnsi"/>
          <w:bCs/>
        </w:rPr>
        <w:t>evaluation</w:t>
      </w:r>
      <w:r w:rsidR="007241C0">
        <w:rPr>
          <w:rFonts w:cstheme="minorHAnsi"/>
          <w:bCs/>
        </w:rPr>
        <w:t xml:space="preserve"> covers the activities </w:t>
      </w:r>
      <w:r w:rsidR="00A42B55">
        <w:rPr>
          <w:rFonts w:cstheme="minorHAnsi"/>
          <w:bCs/>
        </w:rPr>
        <w:t xml:space="preserve">of the </w:t>
      </w:r>
      <w:r w:rsidR="00C06557">
        <w:rPr>
          <w:rFonts w:cstheme="minorHAnsi"/>
          <w:bCs/>
        </w:rPr>
        <w:t>dialysis unit</w:t>
      </w:r>
      <w:r w:rsidR="00D45289">
        <w:rPr>
          <w:rFonts w:cstheme="minorHAnsi"/>
          <w:bCs/>
        </w:rPr>
        <w:t xml:space="preserve"> at </w:t>
      </w:r>
      <w:r w:rsidRPr="00D45289" w:rsidR="00D45289">
        <w:rPr>
          <w:rFonts w:cstheme="minorHAnsi"/>
          <w:bCs/>
        </w:rPr>
        <w:t>S</w:t>
      </w:r>
      <w:r w:rsidR="00B51DDC">
        <w:rPr>
          <w:rFonts w:cstheme="minorHAnsi"/>
          <w:bCs/>
        </w:rPr>
        <w:t>TH</w:t>
      </w:r>
      <w:r w:rsidR="00DF7D12">
        <w:rPr>
          <w:rFonts w:cstheme="minorHAnsi"/>
          <w:bCs/>
        </w:rPr>
        <w:t xml:space="preserve">, which delivers long terms </w:t>
      </w:r>
      <w:r w:rsidR="00F85902">
        <w:rPr>
          <w:rFonts w:cstheme="minorHAnsi"/>
          <w:bCs/>
        </w:rPr>
        <w:t>HD treatment</w:t>
      </w:r>
      <w:r w:rsidR="00D066B6">
        <w:rPr>
          <w:rFonts w:cstheme="minorHAnsi"/>
          <w:bCs/>
        </w:rPr>
        <w:t xml:space="preserve"> to out-patients</w:t>
      </w:r>
      <w:r w:rsidR="00D716EC">
        <w:rPr>
          <w:rFonts w:cstheme="minorHAnsi"/>
          <w:bCs/>
        </w:rPr>
        <w:t xml:space="preserve"> with End Stage Kidney </w:t>
      </w:r>
      <w:r w:rsidR="00681625">
        <w:rPr>
          <w:rFonts w:cstheme="minorHAnsi"/>
          <w:bCs/>
        </w:rPr>
        <w:t>Disease (</w:t>
      </w:r>
      <w:r w:rsidR="0093083F">
        <w:rPr>
          <w:rFonts w:cstheme="minorHAnsi"/>
          <w:bCs/>
        </w:rPr>
        <w:t>ESKD</w:t>
      </w:r>
      <w:r w:rsidR="00D716EC">
        <w:rPr>
          <w:rFonts w:cstheme="minorHAnsi"/>
          <w:bCs/>
        </w:rPr>
        <w:t>)</w:t>
      </w:r>
      <w:r w:rsidR="00FC5A4C">
        <w:rPr>
          <w:rFonts w:cstheme="minorHAnsi"/>
          <w:bCs/>
        </w:rPr>
        <w:t xml:space="preserve">. </w:t>
      </w:r>
      <w:r w:rsidR="0057232F">
        <w:rPr>
          <w:rFonts w:cstheme="minorHAnsi"/>
          <w:bCs/>
        </w:rPr>
        <w:t xml:space="preserve"> The </w:t>
      </w:r>
      <w:r w:rsidR="003C0748">
        <w:rPr>
          <w:rFonts w:cstheme="minorHAnsi"/>
          <w:bCs/>
        </w:rPr>
        <w:t>evaluation</w:t>
      </w:r>
      <w:r w:rsidR="0057232F">
        <w:rPr>
          <w:rFonts w:cstheme="minorHAnsi"/>
          <w:bCs/>
        </w:rPr>
        <w:t xml:space="preserve"> was undertaken for</w:t>
      </w:r>
      <w:r w:rsidR="003F2E80">
        <w:rPr>
          <w:rFonts w:cstheme="minorHAnsi"/>
          <w:bCs/>
        </w:rPr>
        <w:t xml:space="preserve"> the</w:t>
      </w:r>
      <w:r w:rsidR="0057232F">
        <w:rPr>
          <w:rFonts w:cstheme="minorHAnsi"/>
          <w:bCs/>
        </w:rPr>
        <w:t xml:space="preserve"> year 2023</w:t>
      </w:r>
      <w:r w:rsidR="003F2E80">
        <w:rPr>
          <w:rFonts w:cstheme="minorHAnsi"/>
          <w:bCs/>
        </w:rPr>
        <w:t>,</w:t>
      </w:r>
      <w:r w:rsidR="0057232F">
        <w:rPr>
          <w:rFonts w:cstheme="minorHAnsi"/>
          <w:bCs/>
        </w:rPr>
        <w:t xml:space="preserve"> which reflects current practice post</w:t>
      </w:r>
      <w:r w:rsidR="00893DA8">
        <w:rPr>
          <w:rFonts w:cstheme="minorHAnsi"/>
          <w:bCs/>
        </w:rPr>
        <w:t xml:space="preserve"> Covid-19</w:t>
      </w:r>
      <w:r w:rsidR="0057232F">
        <w:rPr>
          <w:rFonts w:cstheme="minorHAnsi"/>
          <w:bCs/>
        </w:rPr>
        <w:t xml:space="preserve"> pandemic</w:t>
      </w:r>
      <w:r w:rsidR="009A4464">
        <w:rPr>
          <w:rFonts w:cstheme="minorHAnsi"/>
          <w:bCs/>
        </w:rPr>
        <w:t>.</w:t>
      </w:r>
    </w:p>
    <w:p w:rsidR="00A5125A" w:rsidP="001E3C35" w:rsidRDefault="00FC5A4C" w14:paraId="5025B3BB" w14:textId="0DE5840C">
      <w:pPr>
        <w:ind w:left="360"/>
        <w:jc w:val="both"/>
        <w:rPr>
          <w:rFonts w:cstheme="minorHAnsi"/>
          <w:bCs/>
        </w:rPr>
      </w:pPr>
      <w:r>
        <w:rPr>
          <w:rFonts w:cstheme="minorHAnsi"/>
          <w:bCs/>
        </w:rPr>
        <w:t xml:space="preserve">There are </w:t>
      </w:r>
      <w:r w:rsidR="009E5908">
        <w:rPr>
          <w:rFonts w:cstheme="minorHAnsi"/>
          <w:bCs/>
        </w:rPr>
        <w:t xml:space="preserve">additional patients that receive </w:t>
      </w:r>
      <w:r w:rsidR="00917A44">
        <w:rPr>
          <w:rFonts w:cstheme="minorHAnsi"/>
          <w:bCs/>
        </w:rPr>
        <w:t xml:space="preserve">treatment either at home or in </w:t>
      </w:r>
      <w:r w:rsidR="008925B1">
        <w:rPr>
          <w:rFonts w:cstheme="minorHAnsi"/>
          <w:bCs/>
        </w:rPr>
        <w:t xml:space="preserve">one of </w:t>
      </w:r>
      <w:r w:rsidR="00917A44">
        <w:rPr>
          <w:rFonts w:cstheme="minorHAnsi"/>
          <w:bCs/>
        </w:rPr>
        <w:t xml:space="preserve">the </w:t>
      </w:r>
      <w:r w:rsidR="00722A5D">
        <w:rPr>
          <w:rFonts w:cstheme="minorHAnsi"/>
          <w:bCs/>
        </w:rPr>
        <w:t>sa</w:t>
      </w:r>
      <w:r w:rsidR="00937D24">
        <w:rPr>
          <w:rFonts w:cstheme="minorHAnsi"/>
          <w:bCs/>
        </w:rPr>
        <w:t xml:space="preserve">tellite </w:t>
      </w:r>
      <w:r w:rsidR="004F4382">
        <w:rPr>
          <w:rFonts w:cstheme="minorHAnsi"/>
          <w:bCs/>
        </w:rPr>
        <w:t>units</w:t>
      </w:r>
      <w:r w:rsidR="00937D24">
        <w:rPr>
          <w:rFonts w:cstheme="minorHAnsi"/>
          <w:bCs/>
        </w:rPr>
        <w:t xml:space="preserve">. </w:t>
      </w:r>
      <w:r w:rsidR="001D0C45">
        <w:rPr>
          <w:rFonts w:cstheme="minorHAnsi"/>
          <w:bCs/>
        </w:rPr>
        <w:t xml:space="preserve"> The </w:t>
      </w:r>
      <w:r w:rsidR="000770A4">
        <w:rPr>
          <w:rFonts w:cstheme="minorHAnsi"/>
          <w:bCs/>
        </w:rPr>
        <w:t xml:space="preserve">satellite units </w:t>
      </w:r>
      <w:r w:rsidR="001B2A80">
        <w:rPr>
          <w:rFonts w:cstheme="minorHAnsi"/>
          <w:bCs/>
        </w:rPr>
        <w:t>include</w:t>
      </w:r>
      <w:r w:rsidR="000770A4">
        <w:rPr>
          <w:rFonts w:cstheme="minorHAnsi"/>
          <w:bCs/>
        </w:rPr>
        <w:t xml:space="preserve"> Barnsley </w:t>
      </w:r>
      <w:r w:rsidR="00A5125A">
        <w:rPr>
          <w:rFonts w:cstheme="minorHAnsi"/>
          <w:bCs/>
        </w:rPr>
        <w:t>(</w:t>
      </w:r>
      <w:r w:rsidR="000770A4">
        <w:rPr>
          <w:rFonts w:cstheme="minorHAnsi"/>
          <w:bCs/>
        </w:rPr>
        <w:t xml:space="preserve">Barnsley District General Hospital), </w:t>
      </w:r>
      <w:r w:rsidR="0095393C">
        <w:rPr>
          <w:rFonts w:cstheme="minorHAnsi"/>
          <w:bCs/>
        </w:rPr>
        <w:t>Chesterfield</w:t>
      </w:r>
      <w:r w:rsidR="008660D3">
        <w:rPr>
          <w:rFonts w:cstheme="minorHAnsi"/>
          <w:bCs/>
        </w:rPr>
        <w:t xml:space="preserve"> </w:t>
      </w:r>
      <w:r w:rsidR="00A5125A">
        <w:rPr>
          <w:rFonts w:cstheme="minorHAnsi"/>
          <w:bCs/>
        </w:rPr>
        <w:t>(C</w:t>
      </w:r>
      <w:r w:rsidR="008660D3">
        <w:rPr>
          <w:rFonts w:cstheme="minorHAnsi"/>
          <w:bCs/>
        </w:rPr>
        <w:t xml:space="preserve">hesterfield and North Derbyshire Royal Hospitals), Rotherham </w:t>
      </w:r>
      <w:r w:rsidR="00EA17B3">
        <w:rPr>
          <w:rFonts w:cstheme="minorHAnsi"/>
          <w:bCs/>
        </w:rPr>
        <w:t>(</w:t>
      </w:r>
      <w:r w:rsidR="006069DE">
        <w:rPr>
          <w:rFonts w:cstheme="minorHAnsi"/>
          <w:bCs/>
        </w:rPr>
        <w:t xml:space="preserve">Rotherham District </w:t>
      </w:r>
      <w:r w:rsidR="00A5125A">
        <w:rPr>
          <w:rFonts w:cstheme="minorHAnsi"/>
          <w:bCs/>
        </w:rPr>
        <w:t>General</w:t>
      </w:r>
      <w:r w:rsidR="006069DE">
        <w:rPr>
          <w:rFonts w:cstheme="minorHAnsi"/>
          <w:bCs/>
        </w:rPr>
        <w:t xml:space="preserve"> </w:t>
      </w:r>
      <w:r w:rsidR="00A5125A">
        <w:rPr>
          <w:rFonts w:cstheme="minorHAnsi"/>
          <w:bCs/>
        </w:rPr>
        <w:t>Hospital</w:t>
      </w:r>
      <w:r w:rsidR="006069DE">
        <w:rPr>
          <w:rFonts w:cstheme="minorHAnsi"/>
          <w:bCs/>
        </w:rPr>
        <w:t xml:space="preserve">), and Sheffield </w:t>
      </w:r>
      <w:r w:rsidR="00EB6DE3">
        <w:rPr>
          <w:rFonts w:cstheme="minorHAnsi"/>
          <w:bCs/>
        </w:rPr>
        <w:t>(Located</w:t>
      </w:r>
      <w:r w:rsidR="006069DE">
        <w:rPr>
          <w:rFonts w:cstheme="minorHAnsi"/>
          <w:bCs/>
        </w:rPr>
        <w:t xml:space="preserve"> at Heel</w:t>
      </w:r>
      <w:r w:rsidR="001A7778">
        <w:rPr>
          <w:rFonts w:cstheme="minorHAnsi"/>
          <w:bCs/>
        </w:rPr>
        <w:t>e</w:t>
      </w:r>
      <w:r w:rsidR="006069DE">
        <w:rPr>
          <w:rFonts w:cstheme="minorHAnsi"/>
          <w:bCs/>
        </w:rPr>
        <w:t>y)</w:t>
      </w:r>
      <w:r w:rsidR="00A5125A">
        <w:rPr>
          <w:rFonts w:cstheme="minorHAnsi"/>
          <w:bCs/>
        </w:rPr>
        <w:t>.</w:t>
      </w:r>
      <w:r w:rsidR="00A87124">
        <w:rPr>
          <w:rFonts w:cstheme="minorHAnsi"/>
          <w:bCs/>
        </w:rPr>
        <w:t xml:space="preserve"> Heeley </w:t>
      </w:r>
      <w:r w:rsidR="00064EB4">
        <w:rPr>
          <w:rFonts w:cstheme="minorHAnsi"/>
          <w:bCs/>
        </w:rPr>
        <w:t>is classes as an STH unit, Rotherham is privately owned.</w:t>
      </w:r>
      <w:r w:rsidR="00A5125A">
        <w:rPr>
          <w:rFonts w:cstheme="minorHAnsi"/>
          <w:bCs/>
        </w:rPr>
        <w:t xml:space="preserve"> </w:t>
      </w:r>
      <w:r w:rsidR="00937D24">
        <w:rPr>
          <w:rFonts w:cstheme="minorHAnsi"/>
          <w:bCs/>
        </w:rPr>
        <w:t xml:space="preserve">These have </w:t>
      </w:r>
      <w:r w:rsidR="008D3F1F">
        <w:rPr>
          <w:rFonts w:cstheme="minorHAnsi"/>
          <w:bCs/>
        </w:rPr>
        <w:t xml:space="preserve">not been included as part of this </w:t>
      </w:r>
      <w:r w:rsidR="003C0748">
        <w:rPr>
          <w:rFonts w:cstheme="minorHAnsi"/>
          <w:bCs/>
        </w:rPr>
        <w:t>evaluation</w:t>
      </w:r>
      <w:r w:rsidR="001D0C45">
        <w:rPr>
          <w:rFonts w:cstheme="minorHAnsi"/>
          <w:bCs/>
        </w:rPr>
        <w:t>.</w:t>
      </w:r>
      <w:r w:rsidR="0093083F">
        <w:rPr>
          <w:rFonts w:cstheme="minorHAnsi"/>
          <w:bCs/>
        </w:rPr>
        <w:t xml:space="preserve"> </w:t>
      </w:r>
    </w:p>
    <w:p w:rsidR="0055307A" w:rsidP="001E3C35" w:rsidRDefault="00210E92" w14:paraId="2CE8F7E7" w14:textId="421826B9">
      <w:pPr>
        <w:ind w:left="360"/>
        <w:jc w:val="both"/>
        <w:rPr>
          <w:rFonts w:cstheme="minorHAnsi"/>
          <w:bCs/>
        </w:rPr>
      </w:pPr>
      <w:r>
        <w:rPr>
          <w:rFonts w:cstheme="minorHAnsi"/>
          <w:bCs/>
        </w:rPr>
        <w:t>The ward opening times are shown in the table below</w:t>
      </w:r>
    </w:p>
    <w:tbl>
      <w:tblPr>
        <w:tblStyle w:val="TableGrid"/>
        <w:tblW w:w="0" w:type="auto"/>
        <w:tblInd w:w="279" w:type="dxa"/>
        <w:tblLook w:val="04A0" w:firstRow="1" w:lastRow="0" w:firstColumn="1" w:lastColumn="0" w:noHBand="0" w:noVBand="1"/>
      </w:tblPr>
      <w:tblGrid>
        <w:gridCol w:w="3278"/>
        <w:gridCol w:w="3289"/>
        <w:gridCol w:w="3269"/>
      </w:tblGrid>
      <w:tr w:rsidR="001D6CA1" w:rsidTr="003F2E80" w14:paraId="0E043163" w14:textId="77777777">
        <w:tc>
          <w:tcPr>
            <w:tcW w:w="3278" w:type="dxa"/>
            <w:shd w:val="clear" w:color="auto" w:fill="002060"/>
          </w:tcPr>
          <w:p w:rsidRPr="00210E92" w:rsidR="0055307A" w:rsidP="003F2E80" w:rsidRDefault="008925B1" w14:paraId="7055D176" w14:textId="47BAB107">
            <w:pPr>
              <w:ind w:left="176"/>
              <w:jc w:val="center"/>
              <w:rPr>
                <w:rFonts w:cstheme="minorHAnsi"/>
                <w:b/>
                <w:color w:val="FFFFFF" w:themeColor="background1"/>
              </w:rPr>
            </w:pPr>
            <w:r w:rsidRPr="00210E92">
              <w:rPr>
                <w:rFonts w:cstheme="minorHAnsi"/>
                <w:b/>
                <w:color w:val="FFFFFF" w:themeColor="background1"/>
              </w:rPr>
              <w:t>Ward</w:t>
            </w:r>
          </w:p>
        </w:tc>
        <w:tc>
          <w:tcPr>
            <w:tcW w:w="3289" w:type="dxa"/>
            <w:shd w:val="clear" w:color="auto" w:fill="002060"/>
          </w:tcPr>
          <w:p w:rsidRPr="00210E92" w:rsidR="0055307A" w:rsidP="001E3C35" w:rsidRDefault="00432086" w14:paraId="275181C6" w14:textId="63C71E09">
            <w:pPr>
              <w:jc w:val="both"/>
              <w:rPr>
                <w:rFonts w:cstheme="minorHAnsi"/>
                <w:b/>
                <w:color w:val="FFFFFF" w:themeColor="background1"/>
              </w:rPr>
            </w:pPr>
            <w:r>
              <w:rPr>
                <w:rFonts w:cstheme="minorHAnsi"/>
                <w:b/>
                <w:color w:val="FFFFFF" w:themeColor="background1"/>
              </w:rPr>
              <w:t xml:space="preserve"> Days open</w:t>
            </w:r>
          </w:p>
        </w:tc>
        <w:tc>
          <w:tcPr>
            <w:tcW w:w="3269" w:type="dxa"/>
            <w:shd w:val="clear" w:color="auto" w:fill="002060"/>
          </w:tcPr>
          <w:p w:rsidRPr="00210E92" w:rsidR="0055307A" w:rsidP="001E3C35" w:rsidRDefault="00432086" w14:paraId="7CEC3D9A" w14:textId="53F76913">
            <w:pPr>
              <w:jc w:val="both"/>
              <w:rPr>
                <w:rFonts w:cstheme="minorHAnsi"/>
                <w:b/>
                <w:color w:val="FFFFFF" w:themeColor="background1"/>
              </w:rPr>
            </w:pPr>
            <w:r>
              <w:rPr>
                <w:rFonts w:cstheme="minorHAnsi"/>
                <w:b/>
                <w:color w:val="FFFFFF" w:themeColor="background1"/>
              </w:rPr>
              <w:t>Opening hours</w:t>
            </w:r>
          </w:p>
        </w:tc>
      </w:tr>
      <w:tr w:rsidR="001D6CA1" w:rsidTr="003F2E80" w14:paraId="04191033" w14:textId="77777777">
        <w:tc>
          <w:tcPr>
            <w:tcW w:w="3278" w:type="dxa"/>
          </w:tcPr>
          <w:p w:rsidR="0055307A" w:rsidP="003F2E80" w:rsidRDefault="00210E92" w14:paraId="51E760EE" w14:textId="21EC1BCF">
            <w:pPr>
              <w:ind w:left="176"/>
              <w:jc w:val="center"/>
              <w:rPr>
                <w:rFonts w:cstheme="minorHAnsi"/>
                <w:bCs/>
              </w:rPr>
            </w:pPr>
            <w:r>
              <w:rPr>
                <w:rFonts w:cstheme="minorHAnsi"/>
                <w:bCs/>
              </w:rPr>
              <w:t>Peter Moorhead unit</w:t>
            </w:r>
          </w:p>
        </w:tc>
        <w:tc>
          <w:tcPr>
            <w:tcW w:w="3289" w:type="dxa"/>
          </w:tcPr>
          <w:p w:rsidR="0055307A" w:rsidP="001E3C35" w:rsidRDefault="00657B2D" w14:paraId="347E6C9E" w14:textId="10380D72">
            <w:pPr>
              <w:jc w:val="both"/>
              <w:rPr>
                <w:rFonts w:cstheme="minorHAnsi"/>
                <w:bCs/>
              </w:rPr>
            </w:pPr>
            <w:r>
              <w:rPr>
                <w:rFonts w:cstheme="minorHAnsi"/>
                <w:bCs/>
              </w:rPr>
              <w:t>Sunday- Friday</w:t>
            </w:r>
          </w:p>
        </w:tc>
        <w:tc>
          <w:tcPr>
            <w:tcW w:w="3269" w:type="dxa"/>
          </w:tcPr>
          <w:p w:rsidR="0055307A" w:rsidP="001E3C35" w:rsidRDefault="00E84D11" w14:paraId="7119C149" w14:textId="26EFECCA">
            <w:pPr>
              <w:jc w:val="both"/>
              <w:rPr>
                <w:rFonts w:cstheme="minorHAnsi"/>
                <w:bCs/>
              </w:rPr>
            </w:pPr>
            <w:r>
              <w:rPr>
                <w:rFonts w:cstheme="minorHAnsi"/>
                <w:bCs/>
              </w:rPr>
              <w:t>06.30</w:t>
            </w:r>
            <w:r w:rsidR="001D6CA1">
              <w:rPr>
                <w:rFonts w:cstheme="minorHAnsi"/>
                <w:bCs/>
              </w:rPr>
              <w:t xml:space="preserve">am- </w:t>
            </w:r>
            <w:r w:rsidR="00065053">
              <w:rPr>
                <w:rFonts w:cstheme="minorHAnsi"/>
                <w:bCs/>
              </w:rPr>
              <w:t>21</w:t>
            </w:r>
            <w:r>
              <w:rPr>
                <w:rFonts w:cstheme="minorHAnsi"/>
                <w:bCs/>
              </w:rPr>
              <w:t>.15</w:t>
            </w:r>
            <w:r w:rsidR="001D6CA1">
              <w:rPr>
                <w:rFonts w:cstheme="minorHAnsi"/>
                <w:bCs/>
              </w:rPr>
              <w:t>pm</w:t>
            </w:r>
          </w:p>
        </w:tc>
      </w:tr>
      <w:tr w:rsidR="001D6CA1" w:rsidTr="003F2E80" w14:paraId="53A9B4E9" w14:textId="77777777">
        <w:tc>
          <w:tcPr>
            <w:tcW w:w="3278" w:type="dxa"/>
          </w:tcPr>
          <w:p w:rsidR="0055307A" w:rsidP="003F2E80" w:rsidRDefault="00210E92" w14:paraId="508F1F9C" w14:textId="3FC8FB1D">
            <w:pPr>
              <w:ind w:left="176"/>
              <w:jc w:val="center"/>
              <w:rPr>
                <w:rFonts w:cstheme="minorHAnsi"/>
                <w:bCs/>
              </w:rPr>
            </w:pPr>
            <w:r>
              <w:rPr>
                <w:rFonts w:cstheme="minorHAnsi"/>
                <w:bCs/>
              </w:rPr>
              <w:t>Renal Unit G</w:t>
            </w:r>
          </w:p>
        </w:tc>
        <w:tc>
          <w:tcPr>
            <w:tcW w:w="3289" w:type="dxa"/>
          </w:tcPr>
          <w:p w:rsidR="0055307A" w:rsidP="001E3C35" w:rsidRDefault="001D6CA1" w14:paraId="1DBC8E86" w14:textId="075D3A9C">
            <w:pPr>
              <w:jc w:val="both"/>
              <w:rPr>
                <w:rFonts w:cstheme="minorHAnsi"/>
                <w:bCs/>
              </w:rPr>
            </w:pPr>
            <w:r>
              <w:rPr>
                <w:rFonts w:cstheme="minorHAnsi"/>
                <w:bCs/>
              </w:rPr>
              <w:t>Monday- Saturday</w:t>
            </w:r>
          </w:p>
        </w:tc>
        <w:tc>
          <w:tcPr>
            <w:tcW w:w="3269" w:type="dxa"/>
          </w:tcPr>
          <w:p w:rsidRPr="00810AC9" w:rsidR="0055307A" w:rsidP="001E3C35" w:rsidRDefault="00657B2D" w14:paraId="65B45EE7" w14:textId="46A6BAC4">
            <w:pPr>
              <w:jc w:val="both"/>
              <w:rPr>
                <w:rFonts w:cstheme="minorHAnsi"/>
                <w:bCs/>
                <w:highlight w:val="yellow"/>
              </w:rPr>
            </w:pPr>
            <w:r>
              <w:rPr>
                <w:rFonts w:cstheme="minorHAnsi"/>
                <w:bCs/>
              </w:rPr>
              <w:t xml:space="preserve">06.30am- </w:t>
            </w:r>
            <w:r w:rsidR="00065053">
              <w:rPr>
                <w:rFonts w:cstheme="minorHAnsi"/>
                <w:bCs/>
              </w:rPr>
              <w:t>21</w:t>
            </w:r>
            <w:r>
              <w:rPr>
                <w:rFonts w:cstheme="minorHAnsi"/>
                <w:bCs/>
              </w:rPr>
              <w:t>.15pm</w:t>
            </w:r>
          </w:p>
        </w:tc>
      </w:tr>
      <w:tr w:rsidR="001D6CA1" w:rsidTr="003F2E80" w14:paraId="75AB1D19" w14:textId="77777777">
        <w:tc>
          <w:tcPr>
            <w:tcW w:w="3278" w:type="dxa"/>
          </w:tcPr>
          <w:p w:rsidR="0055307A" w:rsidP="003F2E80" w:rsidRDefault="00210E92" w14:paraId="308E2530" w14:textId="36402B02">
            <w:pPr>
              <w:ind w:left="176"/>
              <w:jc w:val="center"/>
              <w:rPr>
                <w:rFonts w:cstheme="minorHAnsi"/>
                <w:bCs/>
              </w:rPr>
            </w:pPr>
            <w:r>
              <w:rPr>
                <w:rFonts w:cstheme="minorHAnsi"/>
                <w:bCs/>
              </w:rPr>
              <w:t>Vickers 1</w:t>
            </w:r>
          </w:p>
        </w:tc>
        <w:tc>
          <w:tcPr>
            <w:tcW w:w="3289" w:type="dxa"/>
          </w:tcPr>
          <w:p w:rsidR="0055307A" w:rsidP="001E3C35" w:rsidRDefault="001D6CA1" w14:paraId="58357468" w14:textId="0EB30B7A">
            <w:pPr>
              <w:jc w:val="both"/>
              <w:rPr>
                <w:rFonts w:cstheme="minorHAnsi"/>
                <w:bCs/>
              </w:rPr>
            </w:pPr>
            <w:r>
              <w:rPr>
                <w:rFonts w:cstheme="minorHAnsi"/>
                <w:bCs/>
              </w:rPr>
              <w:t>Monday/ Wednesday/ Friday</w:t>
            </w:r>
          </w:p>
        </w:tc>
        <w:tc>
          <w:tcPr>
            <w:tcW w:w="3269" w:type="dxa"/>
          </w:tcPr>
          <w:p w:rsidRPr="00810AC9" w:rsidR="0055307A" w:rsidP="001E3C35" w:rsidRDefault="00657B2D" w14:paraId="15BFAF0C" w14:textId="47FEC03E">
            <w:pPr>
              <w:jc w:val="both"/>
              <w:rPr>
                <w:rFonts w:cstheme="minorHAnsi"/>
                <w:bCs/>
                <w:highlight w:val="yellow"/>
              </w:rPr>
            </w:pPr>
            <w:r w:rsidRPr="00065053">
              <w:rPr>
                <w:rFonts w:cstheme="minorHAnsi"/>
                <w:bCs/>
              </w:rPr>
              <w:t>0</w:t>
            </w:r>
            <w:r w:rsidRPr="00065053" w:rsidR="00E84D11">
              <w:rPr>
                <w:rFonts w:cstheme="minorHAnsi"/>
                <w:bCs/>
              </w:rPr>
              <w:t>6</w:t>
            </w:r>
            <w:r w:rsidRPr="00065053" w:rsidR="00065053">
              <w:rPr>
                <w:rFonts w:cstheme="minorHAnsi"/>
                <w:bCs/>
              </w:rPr>
              <w:t>.00</w:t>
            </w:r>
            <w:r w:rsidRPr="00065053" w:rsidR="001D6CA1">
              <w:rPr>
                <w:rFonts w:cstheme="minorHAnsi"/>
                <w:bCs/>
              </w:rPr>
              <w:t>am-</w:t>
            </w:r>
            <w:r w:rsidRPr="00065053" w:rsidR="00065053">
              <w:rPr>
                <w:rFonts w:cstheme="minorHAnsi"/>
                <w:bCs/>
              </w:rPr>
              <w:t>21.00</w:t>
            </w:r>
            <w:r w:rsidRPr="00065053" w:rsidR="001D6CA1">
              <w:rPr>
                <w:rFonts w:cstheme="minorHAnsi"/>
                <w:bCs/>
              </w:rPr>
              <w:t>pm</w:t>
            </w:r>
          </w:p>
        </w:tc>
      </w:tr>
    </w:tbl>
    <w:p w:rsidRPr="003122C0" w:rsidR="0055307A" w:rsidP="001E3C35" w:rsidRDefault="0055307A" w14:paraId="10C7549E" w14:textId="77777777">
      <w:pPr>
        <w:ind w:left="360"/>
        <w:jc w:val="both"/>
        <w:rPr>
          <w:rFonts w:cstheme="minorHAnsi"/>
          <w:bCs/>
        </w:rPr>
      </w:pPr>
    </w:p>
    <w:p w:rsidR="008805AD" w:rsidP="00565C21" w:rsidRDefault="001029B2" w14:paraId="6D1C94D7" w14:textId="6416015F">
      <w:pPr>
        <w:ind w:left="360"/>
      </w:pPr>
      <w:r>
        <w:lastRenderedPageBreak/>
        <w:t>The typical ICHD pathway would comprise of the following sequence</w:t>
      </w:r>
    </w:p>
    <w:p w:rsidR="371AEF89" w:rsidP="0069430E" w:rsidRDefault="00565C21" w14:paraId="1C405BFA" w14:textId="35D7A3FC">
      <w:pPr>
        <w:ind w:left="360" w:hanging="360"/>
        <w:rPr>
          <w:highlight w:val="green"/>
        </w:rPr>
      </w:pPr>
      <w:r>
        <w:rPr>
          <w:noProof/>
        </w:rPr>
        <w:drawing>
          <wp:inline distT="0" distB="0" distL="0" distR="0" wp14:anchorId="2CBABFEF" wp14:editId="1519B770">
            <wp:extent cx="6551275" cy="4592422"/>
            <wp:effectExtent l="38100" t="38100" r="40640" b="36830"/>
            <wp:docPr id="141956255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62551" name="Picture 1" descr="A diagram of a company&#10;&#10;Description automatically generated"/>
                    <pic:cNvPicPr/>
                  </pic:nvPicPr>
                  <pic:blipFill>
                    <a:blip r:embed="rId11"/>
                    <a:stretch>
                      <a:fillRect/>
                    </a:stretch>
                  </pic:blipFill>
                  <pic:spPr>
                    <a:xfrm>
                      <a:off x="0" y="0"/>
                      <a:ext cx="6607706" cy="4631980"/>
                    </a:xfrm>
                    <a:prstGeom prst="rect">
                      <a:avLst/>
                    </a:prstGeom>
                    <a:ln w="25400">
                      <a:solidFill>
                        <a:schemeClr val="accent6">
                          <a:lumMod val="75000"/>
                        </a:schemeClr>
                      </a:solidFill>
                    </a:ln>
                  </pic:spPr>
                </pic:pic>
              </a:graphicData>
            </a:graphic>
          </wp:inline>
        </w:drawing>
      </w:r>
    </w:p>
    <w:p w:rsidRPr="00B775C1" w:rsidR="00485F83" w:rsidP="00B24D89" w:rsidRDefault="00485F83" w14:paraId="45957F9A" w14:textId="77777777">
      <w:pPr>
        <w:ind w:left="360"/>
        <w:rPr>
          <w:rFonts w:cstheme="minorHAnsi"/>
          <w:bCs/>
        </w:rPr>
      </w:pPr>
    </w:p>
    <w:p w:rsidR="00C92FE9" w:rsidP="001E3C35" w:rsidRDefault="00485F83" w14:paraId="40682FB5" w14:textId="77777777">
      <w:pPr>
        <w:ind w:left="360"/>
        <w:jc w:val="both"/>
        <w:rPr>
          <w:rFonts w:cstheme="minorHAnsi"/>
        </w:rPr>
      </w:pPr>
      <w:r w:rsidRPr="00B775C1">
        <w:rPr>
          <w:rFonts w:cstheme="minorHAnsi"/>
        </w:rPr>
        <w:t xml:space="preserve">The care pathway includes the environmental impacts arising from the manufacture, distribution, use, and end of life treatment of the following: </w:t>
      </w:r>
    </w:p>
    <w:p w:rsidRPr="00C92FE9" w:rsidR="00C92FE9" w:rsidP="001E3C35" w:rsidRDefault="00485F83" w14:paraId="2FF2136E" w14:textId="288D7459">
      <w:pPr>
        <w:pStyle w:val="ListParagraph"/>
        <w:numPr>
          <w:ilvl w:val="0"/>
          <w:numId w:val="12"/>
        </w:numPr>
        <w:jc w:val="both"/>
        <w:rPr>
          <w:rFonts w:cstheme="minorHAnsi"/>
        </w:rPr>
      </w:pPr>
      <w:r w:rsidRPr="00C92FE9">
        <w:rPr>
          <w:rFonts w:cstheme="minorHAnsi"/>
        </w:rPr>
        <w:t>Electricity, fuel, and water usage from the ICHD unit</w:t>
      </w:r>
      <w:r w:rsidR="00023392">
        <w:rPr>
          <w:rFonts w:cstheme="minorHAnsi"/>
        </w:rPr>
        <w:t>.</w:t>
      </w:r>
    </w:p>
    <w:p w:rsidRPr="00C92FE9" w:rsidR="00C92FE9" w:rsidP="001E3C35" w:rsidRDefault="00485F83" w14:paraId="5852E41C" w14:textId="1CADD194">
      <w:pPr>
        <w:pStyle w:val="ListParagraph"/>
        <w:numPr>
          <w:ilvl w:val="0"/>
          <w:numId w:val="12"/>
        </w:numPr>
        <w:jc w:val="both"/>
        <w:rPr>
          <w:rFonts w:cstheme="minorHAnsi"/>
        </w:rPr>
      </w:pPr>
      <w:r w:rsidRPr="00C92FE9">
        <w:rPr>
          <w:rFonts w:cstheme="minorHAnsi"/>
        </w:rPr>
        <w:t>Electricity, fuel, and water usage from the shared hospital resources used by the staff/patients associated with the HD unit (such as car parks, restaurants, general management and administration, port</w:t>
      </w:r>
      <w:r w:rsidR="005F36DE">
        <w:rPr>
          <w:rFonts w:cstheme="minorHAnsi"/>
        </w:rPr>
        <w:t>ering</w:t>
      </w:r>
      <w:r w:rsidRPr="00C92FE9">
        <w:rPr>
          <w:rFonts w:cstheme="minorHAnsi"/>
        </w:rPr>
        <w:t xml:space="preserve"> services, </w:t>
      </w:r>
      <w:r w:rsidR="00CE20AE">
        <w:rPr>
          <w:rFonts w:cstheme="minorHAnsi"/>
        </w:rPr>
        <w:t>and facilities).</w:t>
      </w:r>
    </w:p>
    <w:p w:rsidRPr="00C92FE9" w:rsidR="00C92FE9" w:rsidP="001E3C35" w:rsidRDefault="00485F83" w14:paraId="22D97D73" w14:textId="08874A6C">
      <w:pPr>
        <w:pStyle w:val="ListParagraph"/>
        <w:numPr>
          <w:ilvl w:val="0"/>
          <w:numId w:val="12"/>
        </w:numPr>
        <w:jc w:val="both"/>
        <w:rPr>
          <w:rFonts w:cstheme="minorHAnsi"/>
        </w:rPr>
      </w:pPr>
      <w:r w:rsidRPr="00C92FE9">
        <w:rPr>
          <w:rFonts w:cstheme="minorHAnsi"/>
        </w:rPr>
        <w:t>Dialysis machines and water</w:t>
      </w:r>
      <w:r w:rsidR="00C4098B">
        <w:rPr>
          <w:rFonts w:cstheme="minorHAnsi"/>
        </w:rPr>
        <w:t xml:space="preserve"> treatment</w:t>
      </w:r>
      <w:r w:rsidRPr="00C92FE9">
        <w:rPr>
          <w:rFonts w:cstheme="minorHAnsi"/>
        </w:rPr>
        <w:t xml:space="preserve"> plant equipment</w:t>
      </w:r>
      <w:r w:rsidR="00023392">
        <w:rPr>
          <w:rFonts w:cstheme="minorHAnsi"/>
        </w:rPr>
        <w:t>.</w:t>
      </w:r>
    </w:p>
    <w:p w:rsidRPr="001F4D82" w:rsidR="00485F83" w:rsidP="001E3C35" w:rsidRDefault="00485F83" w14:paraId="10F984A1" w14:textId="086667C9">
      <w:pPr>
        <w:pStyle w:val="ListParagraph"/>
        <w:numPr>
          <w:ilvl w:val="0"/>
          <w:numId w:val="12"/>
        </w:numPr>
        <w:jc w:val="both"/>
        <w:rPr>
          <w:rFonts w:cstheme="minorHAnsi"/>
          <w:bCs/>
        </w:rPr>
      </w:pPr>
      <w:r w:rsidRPr="00C92FE9">
        <w:rPr>
          <w:rFonts w:cstheme="minorHAnsi"/>
        </w:rPr>
        <w:t xml:space="preserve">Consumable products used, e.g. dialysers and bloodlines; and </w:t>
      </w:r>
      <w:r w:rsidR="00C4098B">
        <w:rPr>
          <w:rFonts w:cstheme="minorHAnsi"/>
        </w:rPr>
        <w:t>p</w:t>
      </w:r>
      <w:r w:rsidRPr="00C92FE9">
        <w:rPr>
          <w:rFonts w:cstheme="minorHAnsi"/>
        </w:rPr>
        <w:t>harmaceutical products used, e.g. acid dialysis concentrates and other solutions.</w:t>
      </w:r>
    </w:p>
    <w:p w:rsidRPr="00C92FE9" w:rsidR="001F4D82" w:rsidP="001F4D82" w:rsidRDefault="001F4D82" w14:paraId="75003B48" w14:textId="77777777">
      <w:pPr>
        <w:pStyle w:val="ListParagraph"/>
        <w:ind w:left="1506"/>
        <w:jc w:val="both"/>
        <w:rPr>
          <w:rFonts w:cstheme="minorHAnsi"/>
          <w:bCs/>
        </w:rPr>
      </w:pPr>
    </w:p>
    <w:p w:rsidRPr="00711C0C" w:rsidR="00156D47" w:rsidP="00617FC5" w:rsidRDefault="00631057" w14:paraId="6ADDB099" w14:textId="4F5F9424">
      <w:pPr>
        <w:pStyle w:val="ListParagraph"/>
        <w:numPr>
          <w:ilvl w:val="1"/>
          <w:numId w:val="27"/>
        </w:numPr>
        <w:jc w:val="both"/>
        <w:rPr>
          <w:rFonts w:cstheme="minorHAnsi"/>
          <w:b/>
          <w:color w:val="538135" w:themeColor="accent6" w:themeShade="BF"/>
          <w:sz w:val="24"/>
          <w:szCs w:val="24"/>
        </w:rPr>
      </w:pPr>
      <w:r w:rsidRPr="00711C0C">
        <w:rPr>
          <w:rFonts w:cstheme="minorHAnsi"/>
          <w:b/>
          <w:color w:val="538135" w:themeColor="accent6" w:themeShade="BF"/>
          <w:sz w:val="24"/>
          <w:szCs w:val="24"/>
        </w:rPr>
        <w:t xml:space="preserve"> Description of</w:t>
      </w:r>
      <w:r w:rsidR="001F4D82">
        <w:rPr>
          <w:rFonts w:cstheme="minorHAnsi"/>
          <w:b/>
          <w:color w:val="538135" w:themeColor="accent6" w:themeShade="BF"/>
          <w:sz w:val="24"/>
          <w:szCs w:val="24"/>
        </w:rPr>
        <w:t xml:space="preserve"> our</w:t>
      </w:r>
      <w:r w:rsidRPr="00711C0C">
        <w:rPr>
          <w:rFonts w:cstheme="minorHAnsi"/>
          <w:b/>
          <w:color w:val="538135" w:themeColor="accent6" w:themeShade="BF"/>
          <w:sz w:val="24"/>
          <w:szCs w:val="24"/>
        </w:rPr>
        <w:t xml:space="preserve"> patient</w:t>
      </w:r>
      <w:r w:rsidR="001F4D82">
        <w:rPr>
          <w:rFonts w:cstheme="minorHAnsi"/>
          <w:b/>
          <w:color w:val="538135" w:themeColor="accent6" w:themeShade="BF"/>
          <w:sz w:val="24"/>
          <w:szCs w:val="24"/>
        </w:rPr>
        <w:t>s</w:t>
      </w:r>
    </w:p>
    <w:p w:rsidR="00631057" w:rsidP="001E3C35" w:rsidRDefault="00631057" w14:paraId="077DC765" w14:textId="5AA58279">
      <w:pPr>
        <w:ind w:left="360"/>
        <w:jc w:val="both"/>
        <w:rPr>
          <w:rFonts w:cstheme="minorHAnsi"/>
          <w:bCs/>
        </w:rPr>
      </w:pPr>
      <w:r>
        <w:rPr>
          <w:rFonts w:cstheme="minorHAnsi"/>
          <w:bCs/>
        </w:rPr>
        <w:t xml:space="preserve">All Adult patients </w:t>
      </w:r>
      <w:r w:rsidR="00903595">
        <w:rPr>
          <w:rFonts w:cstheme="minorHAnsi"/>
          <w:bCs/>
        </w:rPr>
        <w:t>(18</w:t>
      </w:r>
      <w:r>
        <w:rPr>
          <w:rFonts w:cstheme="minorHAnsi"/>
          <w:bCs/>
        </w:rPr>
        <w:t>+ years)</w:t>
      </w:r>
      <w:r w:rsidR="00AA4CC6">
        <w:rPr>
          <w:rFonts w:cstheme="minorHAnsi"/>
          <w:bCs/>
        </w:rPr>
        <w:t xml:space="preserve"> undergoing ICHD treatment at STH during 202</w:t>
      </w:r>
      <w:r w:rsidR="009B5CB6">
        <w:rPr>
          <w:rFonts w:cstheme="minorHAnsi"/>
          <w:bCs/>
        </w:rPr>
        <w:t>3</w:t>
      </w:r>
      <w:r w:rsidR="00AA4CC6">
        <w:rPr>
          <w:rFonts w:cstheme="minorHAnsi"/>
          <w:bCs/>
        </w:rPr>
        <w:t>.</w:t>
      </w:r>
    </w:p>
    <w:p w:rsidR="00086015" w:rsidP="006715AF" w:rsidRDefault="00E04F5C" w14:paraId="620C946F" w14:textId="10E701AF">
      <w:pPr>
        <w:ind w:left="360"/>
        <w:jc w:val="both"/>
        <w:rPr>
          <w:rFonts w:cstheme="minorHAnsi"/>
          <w:bCs/>
        </w:rPr>
      </w:pPr>
      <w:r w:rsidRPr="00086015">
        <w:rPr>
          <w:rFonts w:cstheme="minorHAnsi"/>
          <w:bCs/>
        </w:rPr>
        <w:t xml:space="preserve">There </w:t>
      </w:r>
      <w:r w:rsidRPr="00086015" w:rsidR="00086015">
        <w:rPr>
          <w:rFonts w:cstheme="minorHAnsi"/>
          <w:bCs/>
        </w:rPr>
        <w:t xml:space="preserve">were </w:t>
      </w:r>
      <w:r w:rsidR="00B0255E">
        <w:rPr>
          <w:rFonts w:cstheme="minorHAnsi"/>
          <w:bCs/>
        </w:rPr>
        <w:t>927</w:t>
      </w:r>
      <w:r w:rsidR="001F4D82">
        <w:rPr>
          <w:rFonts w:cstheme="minorHAnsi"/>
          <w:bCs/>
        </w:rPr>
        <w:t xml:space="preserve"> dialysis</w:t>
      </w:r>
      <w:r w:rsidR="00B0255E">
        <w:rPr>
          <w:rFonts w:cstheme="minorHAnsi"/>
          <w:bCs/>
        </w:rPr>
        <w:t xml:space="preserve"> </w:t>
      </w:r>
      <w:r w:rsidR="00F93315">
        <w:rPr>
          <w:rFonts w:cstheme="minorHAnsi"/>
          <w:bCs/>
        </w:rPr>
        <w:t xml:space="preserve">slots per week with 309 patients </w:t>
      </w:r>
      <w:r w:rsidR="009A4FC9">
        <w:rPr>
          <w:rFonts w:cstheme="minorHAnsi"/>
          <w:bCs/>
        </w:rPr>
        <w:t>undergoing dialysis</w:t>
      </w:r>
      <w:r w:rsidR="00CA46A5">
        <w:rPr>
          <w:rFonts w:cstheme="minorHAnsi"/>
          <w:bCs/>
        </w:rPr>
        <w:t xml:space="preserve"> treatment</w:t>
      </w:r>
      <w:r w:rsidR="009A4FC9">
        <w:rPr>
          <w:rFonts w:cstheme="minorHAnsi"/>
          <w:bCs/>
        </w:rPr>
        <w:t xml:space="preserve">. </w:t>
      </w:r>
      <w:r w:rsidRPr="00086015" w:rsidR="00086015">
        <w:rPr>
          <w:rFonts w:cstheme="minorHAnsi"/>
          <w:bCs/>
        </w:rPr>
        <w:t xml:space="preserve"> </w:t>
      </w:r>
      <w:r w:rsidR="009A4FC9">
        <w:rPr>
          <w:rFonts w:cstheme="minorHAnsi"/>
          <w:bCs/>
        </w:rPr>
        <w:t>This</w:t>
      </w:r>
      <w:r w:rsidRPr="00086015" w:rsidR="00086015">
        <w:rPr>
          <w:rFonts w:cstheme="minorHAnsi"/>
          <w:bCs/>
        </w:rPr>
        <w:t xml:space="preserve"> equates </w:t>
      </w:r>
      <w:r w:rsidRPr="00086015" w:rsidR="00B1212E">
        <w:rPr>
          <w:rFonts w:cstheme="minorHAnsi"/>
          <w:bCs/>
        </w:rPr>
        <w:t>to 48,204</w:t>
      </w:r>
      <w:r w:rsidRPr="00086015" w:rsidR="0040340E">
        <w:rPr>
          <w:rFonts w:cstheme="minorHAnsi"/>
          <w:bCs/>
        </w:rPr>
        <w:t xml:space="preserve"> dialysis sessions per </w:t>
      </w:r>
      <w:r w:rsidRPr="00086015" w:rsidR="0088326C">
        <w:rPr>
          <w:rFonts w:cstheme="minorHAnsi"/>
          <w:bCs/>
        </w:rPr>
        <w:t>year.</w:t>
      </w:r>
    </w:p>
    <w:p w:rsidRPr="007751A0" w:rsidR="00C26462" w:rsidP="00617FC5" w:rsidRDefault="00C26462" w14:paraId="732F7228" w14:textId="5390C0FB">
      <w:pPr>
        <w:pStyle w:val="ListParagraph"/>
        <w:numPr>
          <w:ilvl w:val="1"/>
          <w:numId w:val="27"/>
        </w:numPr>
        <w:jc w:val="both"/>
        <w:rPr>
          <w:rFonts w:cstheme="minorHAnsi"/>
          <w:b/>
          <w:color w:val="538135" w:themeColor="accent6" w:themeShade="BF"/>
          <w:sz w:val="24"/>
          <w:szCs w:val="24"/>
        </w:rPr>
      </w:pPr>
      <w:r w:rsidRPr="007751A0">
        <w:rPr>
          <w:rFonts w:cstheme="minorHAnsi"/>
          <w:b/>
          <w:color w:val="538135" w:themeColor="accent6" w:themeShade="BF"/>
          <w:sz w:val="24"/>
          <w:szCs w:val="24"/>
        </w:rPr>
        <w:t xml:space="preserve"> Impacts appraised</w:t>
      </w:r>
    </w:p>
    <w:p w:rsidR="00904791" w:rsidP="001E3C35" w:rsidRDefault="00904791" w14:paraId="7C251743" w14:textId="77777777">
      <w:pPr>
        <w:ind w:left="360"/>
        <w:jc w:val="both"/>
      </w:pPr>
      <w:r>
        <w:t xml:space="preserve">The environmental impacts appraised in this study include: </w:t>
      </w:r>
    </w:p>
    <w:p w:rsidR="00904791" w:rsidP="001E3C35" w:rsidRDefault="00904791" w14:paraId="60672AA4" w14:textId="4FA571FE">
      <w:pPr>
        <w:pStyle w:val="ListParagraph"/>
        <w:numPr>
          <w:ilvl w:val="0"/>
          <w:numId w:val="8"/>
        </w:numPr>
        <w:jc w:val="both"/>
      </w:pPr>
      <w:r>
        <w:lastRenderedPageBreak/>
        <w:t>GHG emissions, i.e. a measure of the emissions of GHG contributing to climate change, expressed in kg CO</w:t>
      </w:r>
      <w:r w:rsidRPr="00B1212E">
        <w:rPr>
          <w:vertAlign w:val="subscript"/>
        </w:rPr>
        <w:t>2</w:t>
      </w:r>
      <w:r w:rsidR="0064714A">
        <w:t>e</w:t>
      </w:r>
      <w:r>
        <w:t xml:space="preserve">. </w:t>
      </w:r>
    </w:p>
    <w:p w:rsidR="00904791" w:rsidP="001E3C35" w:rsidRDefault="00904791" w14:paraId="38863ACB" w14:textId="5FBFFD29">
      <w:pPr>
        <w:pStyle w:val="ListParagraph"/>
        <w:numPr>
          <w:ilvl w:val="0"/>
          <w:numId w:val="8"/>
        </w:numPr>
        <w:jc w:val="both"/>
      </w:pPr>
      <w:r>
        <w:t xml:space="preserve">Direct freshwater use, expressed in </w:t>
      </w:r>
      <w:proofErr w:type="gramStart"/>
      <w:r>
        <w:t>m3;</w:t>
      </w:r>
      <w:proofErr w:type="gramEnd"/>
      <w:r>
        <w:t xml:space="preserve"> </w:t>
      </w:r>
    </w:p>
    <w:p w:rsidR="00904791" w:rsidP="001E3C35" w:rsidRDefault="00904791" w14:paraId="22F08DF7" w14:textId="17A61C41">
      <w:pPr>
        <w:pStyle w:val="ListParagraph"/>
        <w:numPr>
          <w:ilvl w:val="0"/>
          <w:numId w:val="8"/>
        </w:numPr>
        <w:jc w:val="both"/>
      </w:pPr>
      <w:r>
        <w:t>Direct waste generation, which includes generation of solid waste, expressed in kg</w:t>
      </w:r>
      <w:r w:rsidR="006715AF">
        <w:t>.</w:t>
      </w:r>
    </w:p>
    <w:p w:rsidR="006715AF" w:rsidP="006715AF" w:rsidRDefault="006715AF" w14:paraId="63201E78" w14:textId="77777777">
      <w:pPr>
        <w:pStyle w:val="ListParagraph"/>
        <w:ind w:left="1080"/>
        <w:jc w:val="both"/>
      </w:pPr>
    </w:p>
    <w:p w:rsidRPr="007751A0" w:rsidR="00DE70BA" w:rsidP="00617FC5" w:rsidRDefault="00122AAD" w14:paraId="6A18544F" w14:textId="479E96B2">
      <w:pPr>
        <w:pStyle w:val="ListParagraph"/>
        <w:numPr>
          <w:ilvl w:val="1"/>
          <w:numId w:val="27"/>
        </w:numPr>
        <w:jc w:val="both"/>
        <w:rPr>
          <w:rFonts w:cstheme="minorHAnsi"/>
          <w:b/>
          <w:color w:val="538135" w:themeColor="accent6" w:themeShade="BF"/>
          <w:sz w:val="24"/>
          <w:szCs w:val="24"/>
        </w:rPr>
      </w:pPr>
      <w:r w:rsidRPr="007751A0">
        <w:rPr>
          <w:rFonts w:cstheme="minorHAnsi"/>
          <w:b/>
          <w:color w:val="538135" w:themeColor="accent6" w:themeShade="BF"/>
          <w:sz w:val="24"/>
          <w:szCs w:val="24"/>
        </w:rPr>
        <w:t xml:space="preserve"> Unit of analysis</w:t>
      </w:r>
    </w:p>
    <w:p w:rsidR="005247A9" w:rsidP="001E3C35" w:rsidRDefault="00122AAD" w14:paraId="5F6ED0C9" w14:textId="73594CEA">
      <w:pPr>
        <w:ind w:left="360"/>
        <w:jc w:val="both"/>
      </w:pPr>
      <w:r>
        <w:t>Total number of dialysis sessions</w:t>
      </w:r>
      <w:r w:rsidR="0069305B">
        <w:t xml:space="preserve"> </w:t>
      </w:r>
      <w:r w:rsidR="001A02AE">
        <w:t>48,</w:t>
      </w:r>
      <w:r w:rsidR="005A67FB">
        <w:t>204</w:t>
      </w:r>
      <w:r w:rsidR="0069305B">
        <w:t xml:space="preserve"> undertaken at </w:t>
      </w:r>
      <w:r w:rsidR="00506D95">
        <w:t xml:space="preserve">STH </w:t>
      </w:r>
      <w:r w:rsidR="005A67FB">
        <w:t>per annum.</w:t>
      </w:r>
    </w:p>
    <w:p w:rsidRPr="007751A0" w:rsidR="00AD3E4D" w:rsidP="00617FC5" w:rsidRDefault="00AD3E4D" w14:paraId="7A78B5B7" w14:textId="5AA03BF0">
      <w:pPr>
        <w:pStyle w:val="ListParagraph"/>
        <w:numPr>
          <w:ilvl w:val="1"/>
          <w:numId w:val="27"/>
        </w:numPr>
        <w:jc w:val="both"/>
        <w:rPr>
          <w:rFonts w:cstheme="minorHAnsi"/>
          <w:b/>
          <w:color w:val="538135" w:themeColor="accent6" w:themeShade="BF"/>
          <w:sz w:val="24"/>
          <w:szCs w:val="24"/>
        </w:rPr>
      </w:pPr>
      <w:r w:rsidRPr="007751A0">
        <w:rPr>
          <w:rFonts w:cstheme="minorHAnsi"/>
          <w:b/>
          <w:color w:val="538135" w:themeColor="accent6" w:themeShade="BF"/>
          <w:sz w:val="24"/>
          <w:szCs w:val="24"/>
        </w:rPr>
        <w:t xml:space="preserve"> Exclusions and limitations</w:t>
      </w:r>
    </w:p>
    <w:p w:rsidR="00416CB7" w:rsidP="001E3C35" w:rsidRDefault="00447E18" w14:paraId="2E115204" w14:textId="61818A24">
      <w:pPr>
        <w:ind w:left="360"/>
        <w:jc w:val="both"/>
      </w:pPr>
      <w:r w:rsidRPr="00416CB7">
        <w:t>In line with the Sustainable Care Pathways guidance, some activity data ha</w:t>
      </w:r>
      <w:r w:rsidR="008F7D2E">
        <w:t>s</w:t>
      </w:r>
      <w:r w:rsidRPr="00416CB7">
        <w:t xml:space="preserve"> been omitted from the </w:t>
      </w:r>
      <w:r w:rsidR="003C0748">
        <w:t>evaluation</w:t>
      </w:r>
      <w:r w:rsidRPr="00416CB7">
        <w:t>. This is due to their expected immateriality in relation to the total calculated environmental impacts. The omitted activity data include</w:t>
      </w:r>
      <w:r w:rsidR="00874B0C">
        <w:t>s</w:t>
      </w:r>
      <w:r w:rsidR="006B0442">
        <w:t>:</w:t>
      </w:r>
    </w:p>
    <w:p w:rsidR="00416CB7" w:rsidP="001E3C35" w:rsidRDefault="00447E18" w14:paraId="11CB70F0" w14:textId="08B6904A">
      <w:pPr>
        <w:pStyle w:val="ListParagraph"/>
        <w:numPr>
          <w:ilvl w:val="0"/>
          <w:numId w:val="13"/>
        </w:numPr>
        <w:jc w:val="both"/>
      </w:pPr>
      <w:r w:rsidRPr="00416CB7">
        <w:t>Capital goods (e.g. infrastructure</w:t>
      </w:r>
      <w:r w:rsidRPr="00416CB7" w:rsidR="00416CB7">
        <w:t>).</w:t>
      </w:r>
    </w:p>
    <w:p w:rsidR="00416CB7" w:rsidP="001E3C35" w:rsidRDefault="00447E18" w14:paraId="708EF103" w14:textId="2B2186CD">
      <w:pPr>
        <w:pStyle w:val="ListParagraph"/>
        <w:numPr>
          <w:ilvl w:val="0"/>
          <w:numId w:val="13"/>
        </w:numPr>
        <w:jc w:val="both"/>
      </w:pPr>
      <w:r w:rsidRPr="00416CB7">
        <w:t xml:space="preserve">Corporate </w:t>
      </w:r>
      <w:r w:rsidRPr="00416CB7" w:rsidR="00416CB7">
        <w:t>services.</w:t>
      </w:r>
      <w:r w:rsidRPr="00416CB7">
        <w:t xml:space="preserve"> </w:t>
      </w:r>
    </w:p>
    <w:p w:rsidR="00416CB7" w:rsidP="001E3C35" w:rsidRDefault="00447E18" w14:paraId="2357E477" w14:textId="0BFA3ABC">
      <w:pPr>
        <w:pStyle w:val="ListParagraph"/>
        <w:numPr>
          <w:ilvl w:val="0"/>
          <w:numId w:val="13"/>
        </w:numPr>
        <w:jc w:val="both"/>
      </w:pPr>
      <w:r w:rsidRPr="00416CB7">
        <w:t xml:space="preserve">Clinical </w:t>
      </w:r>
      <w:r w:rsidRPr="00416CB7" w:rsidR="00416CB7">
        <w:t>research.</w:t>
      </w:r>
    </w:p>
    <w:p w:rsidR="00416CB7" w:rsidP="001E3C35" w:rsidRDefault="00447E18" w14:paraId="3CC83D4C" w14:textId="518C6ED5">
      <w:pPr>
        <w:pStyle w:val="ListParagraph"/>
        <w:numPr>
          <w:ilvl w:val="0"/>
          <w:numId w:val="13"/>
        </w:numPr>
        <w:jc w:val="both"/>
      </w:pPr>
      <w:r w:rsidRPr="00416CB7">
        <w:t xml:space="preserve">Staff training; and </w:t>
      </w:r>
    </w:p>
    <w:p w:rsidR="00416CB7" w:rsidP="001E3C35" w:rsidRDefault="00447E18" w14:paraId="1C8EA336" w14:textId="164A4989">
      <w:pPr>
        <w:pStyle w:val="ListParagraph"/>
        <w:numPr>
          <w:ilvl w:val="0"/>
          <w:numId w:val="13"/>
        </w:numPr>
        <w:jc w:val="both"/>
      </w:pPr>
      <w:r w:rsidRPr="00416CB7">
        <w:t xml:space="preserve">Administrative, </w:t>
      </w:r>
      <w:r w:rsidRPr="00416CB7" w:rsidR="00416CB7">
        <w:t>regulatory,</w:t>
      </w:r>
      <w:r w:rsidRPr="00416CB7">
        <w:t xml:space="preserve"> or other functions not directly connected to the direct provision of ICHD</w:t>
      </w:r>
      <w:r w:rsidR="00586DEE">
        <w:t>.</w:t>
      </w:r>
    </w:p>
    <w:p w:rsidR="00416CB7" w:rsidP="001E3C35" w:rsidRDefault="00447E18" w14:paraId="799F0FEC" w14:textId="77777777">
      <w:pPr>
        <w:ind w:left="360"/>
        <w:jc w:val="both"/>
      </w:pPr>
      <w:r w:rsidRPr="00416CB7">
        <w:t xml:space="preserve">The limitations of the study are related to data quality and the use of secondary data and assumptions for some processes and activities, including the following: </w:t>
      </w:r>
    </w:p>
    <w:p w:rsidRPr="00DC5BF7" w:rsidR="00B55157" w:rsidP="001E3C35" w:rsidRDefault="00447E18" w14:paraId="7436F1DE" w14:textId="7FF43234">
      <w:pPr>
        <w:pStyle w:val="ListParagraph"/>
        <w:numPr>
          <w:ilvl w:val="0"/>
          <w:numId w:val="14"/>
        </w:numPr>
        <w:jc w:val="both"/>
        <w:rPr>
          <w:rFonts w:cstheme="minorHAnsi"/>
          <w:b/>
          <w:color w:val="538135" w:themeColor="accent6" w:themeShade="BF"/>
          <w:sz w:val="28"/>
          <w:szCs w:val="28"/>
        </w:rPr>
      </w:pPr>
      <w:r w:rsidRPr="00DC5BF7">
        <w:t xml:space="preserve">Use of </w:t>
      </w:r>
      <w:r w:rsidRPr="00DC5BF7" w:rsidR="00B55157">
        <w:t xml:space="preserve">estimated values for </w:t>
      </w:r>
      <w:r w:rsidRPr="00DC5BF7" w:rsidR="008A2506">
        <w:t>waste</w:t>
      </w:r>
      <w:r w:rsidR="008A2506">
        <w:t>,</w:t>
      </w:r>
      <w:r w:rsidRPr="00DC5BF7" w:rsidR="008A2506">
        <w:t xml:space="preserve"> energy</w:t>
      </w:r>
      <w:r w:rsidR="00894F37">
        <w:t xml:space="preserve"> and water as th</w:t>
      </w:r>
      <w:r w:rsidR="008A2506">
        <w:t>e</w:t>
      </w:r>
      <w:r w:rsidR="00894F37">
        <w:t xml:space="preserve"> dialysis units are not metered.</w:t>
      </w:r>
    </w:p>
    <w:p w:rsidRPr="005720C3" w:rsidR="00A0152B" w:rsidP="003D70B8" w:rsidRDefault="00DC5BF7" w14:paraId="3709443F" w14:textId="3DE1D221">
      <w:pPr>
        <w:pStyle w:val="ListParagraph"/>
        <w:numPr>
          <w:ilvl w:val="0"/>
          <w:numId w:val="14"/>
        </w:numPr>
        <w:jc w:val="both"/>
        <w:rPr>
          <w:rFonts w:cstheme="minorHAnsi"/>
          <w:b/>
          <w:color w:val="538135" w:themeColor="accent6" w:themeShade="BF"/>
          <w:sz w:val="28"/>
          <w:szCs w:val="28"/>
        </w:rPr>
      </w:pPr>
      <w:r>
        <w:t>Use of generic items for consumables and pharmaceutical</w:t>
      </w:r>
      <w:r w:rsidR="00970954">
        <w:t>s</w:t>
      </w:r>
      <w:r>
        <w:t xml:space="preserve"> due to the specific STH items not</w:t>
      </w:r>
      <w:r w:rsidR="008A2506">
        <w:t xml:space="preserve"> </w:t>
      </w:r>
      <w:r w:rsidR="00A30DC1">
        <w:t>being available</w:t>
      </w:r>
      <w:r>
        <w:t xml:space="preserve"> on the</w:t>
      </w:r>
      <w:r w:rsidR="008055B4">
        <w:t xml:space="preserve"> carbon </w:t>
      </w:r>
      <w:r w:rsidR="001A11E6">
        <w:t>footprint</w:t>
      </w:r>
      <w:r>
        <w:t xml:space="preserve"> calculator</w:t>
      </w:r>
      <w:r w:rsidR="005720C3">
        <w:t>.</w:t>
      </w:r>
    </w:p>
    <w:p w:rsidRPr="00A30DC1" w:rsidR="005720C3" w:rsidP="003D70B8" w:rsidRDefault="005720C3" w14:paraId="1C5C21AD" w14:textId="1E9995A8">
      <w:pPr>
        <w:pStyle w:val="ListParagraph"/>
        <w:numPr>
          <w:ilvl w:val="0"/>
          <w:numId w:val="14"/>
        </w:numPr>
        <w:jc w:val="both"/>
        <w:rPr>
          <w:rFonts w:cstheme="minorHAnsi"/>
          <w:b/>
          <w:color w:val="538135" w:themeColor="accent6" w:themeShade="BF"/>
          <w:sz w:val="28"/>
          <w:szCs w:val="28"/>
        </w:rPr>
      </w:pPr>
      <w:r>
        <w:t xml:space="preserve">Omission of some pharmaceuticals and consumables due to options not being available on </w:t>
      </w:r>
      <w:r w:rsidR="001A11E6">
        <w:t xml:space="preserve">the carbon footprint </w:t>
      </w:r>
      <w:r>
        <w:t>calculator</w:t>
      </w:r>
      <w:r w:rsidR="001A11E6">
        <w:t>.</w:t>
      </w:r>
    </w:p>
    <w:p w:rsidRPr="00B45701" w:rsidR="00A30DC1" w:rsidP="00A30DC1" w:rsidRDefault="00A30DC1" w14:paraId="0AA9637C" w14:textId="77777777">
      <w:pPr>
        <w:pStyle w:val="ListParagraph"/>
        <w:ind w:left="1506"/>
        <w:jc w:val="both"/>
        <w:rPr>
          <w:rFonts w:cstheme="minorHAnsi"/>
          <w:b/>
          <w:color w:val="538135" w:themeColor="accent6" w:themeShade="BF"/>
          <w:sz w:val="28"/>
          <w:szCs w:val="28"/>
        </w:rPr>
      </w:pPr>
    </w:p>
    <w:p w:rsidRPr="002B20E9" w:rsidR="00A14CBF" w:rsidP="002B20E9" w:rsidRDefault="00566BD5" w14:paraId="000EC7AD" w14:textId="6AC7FBF5">
      <w:pPr>
        <w:pStyle w:val="ListParagraph"/>
        <w:numPr>
          <w:ilvl w:val="0"/>
          <w:numId w:val="29"/>
        </w:numPr>
        <w:jc w:val="both"/>
        <w:rPr>
          <w:rFonts w:cstheme="minorHAnsi"/>
          <w:b/>
          <w:color w:val="538135" w:themeColor="accent6" w:themeShade="BF"/>
          <w:sz w:val="28"/>
          <w:szCs w:val="28"/>
        </w:rPr>
      </w:pPr>
      <w:r w:rsidRPr="002B20E9">
        <w:rPr>
          <w:rFonts w:cstheme="minorHAnsi"/>
          <w:b/>
          <w:color w:val="538135" w:themeColor="accent6" w:themeShade="BF"/>
          <w:sz w:val="28"/>
          <w:szCs w:val="28"/>
        </w:rPr>
        <w:t>Data</w:t>
      </w:r>
      <w:r w:rsidR="004A4DA4">
        <w:rPr>
          <w:rFonts w:cstheme="minorHAnsi"/>
          <w:b/>
          <w:color w:val="538135" w:themeColor="accent6" w:themeShade="BF"/>
          <w:sz w:val="28"/>
          <w:szCs w:val="28"/>
        </w:rPr>
        <w:t xml:space="preserve"> and Analysis</w:t>
      </w:r>
    </w:p>
    <w:p w:rsidRPr="00802810" w:rsidR="0004441E" w:rsidP="00802810" w:rsidRDefault="00682A89" w14:paraId="2F3FA6E4" w14:textId="1023ECE7">
      <w:pPr>
        <w:ind w:left="720"/>
        <w:jc w:val="both"/>
        <w:rPr>
          <w:rFonts w:cstheme="minorHAnsi"/>
          <w:b/>
          <w:color w:val="538135" w:themeColor="accent6" w:themeShade="BF"/>
          <w:sz w:val="24"/>
          <w:szCs w:val="24"/>
        </w:rPr>
      </w:pPr>
      <w:r>
        <w:rPr>
          <w:b/>
          <w:bCs/>
          <w:color w:val="538135" w:themeColor="accent6" w:themeShade="BF"/>
          <w:sz w:val="24"/>
          <w:szCs w:val="24"/>
        </w:rPr>
        <w:t>3.1</w:t>
      </w:r>
      <w:r w:rsidR="00A77EBE">
        <w:rPr>
          <w:b/>
          <w:bCs/>
          <w:color w:val="538135" w:themeColor="accent6" w:themeShade="BF"/>
          <w:sz w:val="24"/>
          <w:szCs w:val="24"/>
        </w:rPr>
        <w:t>- Overview</w:t>
      </w:r>
    </w:p>
    <w:p w:rsidR="00D84245" w:rsidP="00D84245" w:rsidRDefault="00A26E50" w14:paraId="0962FB91" w14:textId="7D3845EF">
      <w:pPr>
        <w:ind w:left="360"/>
        <w:jc w:val="both"/>
        <w:rPr>
          <w:rFonts w:ascii="Calibri" w:hAnsi="Calibri" w:eastAsia="Calibri" w:cs="Times New Roman"/>
        </w:rPr>
      </w:pPr>
      <w:r>
        <w:rPr>
          <w:rFonts w:ascii="Calibri" w:hAnsi="Calibri" w:eastAsia="Calibri" w:cs="Times New Roman"/>
        </w:rPr>
        <w:t>The activity data</w:t>
      </w:r>
      <w:r w:rsidR="009A7023">
        <w:rPr>
          <w:rFonts w:ascii="Calibri" w:hAnsi="Calibri" w:eastAsia="Calibri" w:cs="Times New Roman"/>
        </w:rPr>
        <w:t xml:space="preserve"> was</w:t>
      </w:r>
      <w:r>
        <w:rPr>
          <w:rFonts w:ascii="Calibri" w:hAnsi="Calibri" w:eastAsia="Calibri" w:cs="Times New Roman"/>
        </w:rPr>
        <w:t xml:space="preserve"> collected </w:t>
      </w:r>
      <w:r w:rsidR="009A7023">
        <w:rPr>
          <w:rFonts w:ascii="Calibri" w:hAnsi="Calibri" w:eastAsia="Calibri" w:cs="Times New Roman"/>
        </w:rPr>
        <w:t>from STH including the total amount of pharmaceutical</w:t>
      </w:r>
      <w:r w:rsidR="00A77EBE">
        <w:rPr>
          <w:rFonts w:ascii="Calibri" w:hAnsi="Calibri" w:eastAsia="Calibri" w:cs="Times New Roman"/>
        </w:rPr>
        <w:t>s</w:t>
      </w:r>
      <w:r w:rsidR="009A7023">
        <w:rPr>
          <w:rFonts w:ascii="Calibri" w:hAnsi="Calibri" w:eastAsia="Calibri" w:cs="Times New Roman"/>
        </w:rPr>
        <w:t>, consumables</w:t>
      </w:r>
      <w:r w:rsidR="00057580">
        <w:rPr>
          <w:rFonts w:ascii="Calibri" w:hAnsi="Calibri" w:eastAsia="Calibri" w:cs="Times New Roman"/>
        </w:rPr>
        <w:t>, equipment and utilities used for ICHD renal care on wards</w:t>
      </w:r>
      <w:r w:rsidR="00DC52B0">
        <w:rPr>
          <w:rFonts w:ascii="Calibri" w:hAnsi="Calibri" w:eastAsia="Calibri" w:cs="Times New Roman"/>
        </w:rPr>
        <w:t xml:space="preserve"> Renal unit G, </w:t>
      </w:r>
      <w:r w:rsidR="009B707D">
        <w:rPr>
          <w:rFonts w:ascii="Calibri" w:hAnsi="Calibri" w:eastAsia="Calibri" w:cs="Times New Roman"/>
        </w:rPr>
        <w:t>Peter Moorhead</w:t>
      </w:r>
      <w:r w:rsidR="00DC52B0">
        <w:rPr>
          <w:rFonts w:ascii="Calibri" w:hAnsi="Calibri" w:eastAsia="Calibri" w:cs="Times New Roman"/>
        </w:rPr>
        <w:t xml:space="preserve"> unit and Vickers 1 during 2023.</w:t>
      </w:r>
      <w:r w:rsidR="00CD6772">
        <w:rPr>
          <w:rFonts w:ascii="Calibri" w:hAnsi="Calibri" w:eastAsia="Calibri" w:cs="Times New Roman"/>
        </w:rPr>
        <w:t xml:space="preserve"> </w:t>
      </w:r>
      <w:r w:rsidR="00F970EA">
        <w:rPr>
          <w:rFonts w:ascii="Calibri" w:hAnsi="Calibri" w:eastAsia="Calibri" w:cs="Times New Roman"/>
        </w:rPr>
        <w:t xml:space="preserve"> This involved selecting an option for each </w:t>
      </w:r>
      <w:r w:rsidR="00D84245">
        <w:rPr>
          <w:rFonts w:ascii="Calibri" w:hAnsi="Calibri" w:eastAsia="Calibri" w:cs="Times New Roman"/>
        </w:rPr>
        <w:t>item/ product f</w:t>
      </w:r>
      <w:r w:rsidR="00BA57A7">
        <w:rPr>
          <w:rFonts w:ascii="Calibri" w:hAnsi="Calibri" w:eastAsia="Calibri" w:cs="Times New Roman"/>
        </w:rPr>
        <w:t>rom</w:t>
      </w:r>
      <w:r w:rsidR="00D84245">
        <w:rPr>
          <w:rFonts w:ascii="Calibri" w:hAnsi="Calibri" w:eastAsia="Calibri" w:cs="Times New Roman"/>
        </w:rPr>
        <w:t xml:space="preserve"> a pre-populated list. In some </w:t>
      </w:r>
      <w:r w:rsidR="00BA57A7">
        <w:rPr>
          <w:rFonts w:ascii="Calibri" w:hAnsi="Calibri" w:eastAsia="Calibri" w:cs="Times New Roman"/>
        </w:rPr>
        <w:t>instances,</w:t>
      </w:r>
      <w:r w:rsidR="00CA7EA9">
        <w:rPr>
          <w:rFonts w:ascii="Calibri" w:hAnsi="Calibri" w:eastAsia="Calibri" w:cs="Times New Roman"/>
        </w:rPr>
        <w:t xml:space="preserve"> the STH</w:t>
      </w:r>
      <w:r w:rsidR="00D84245">
        <w:rPr>
          <w:rFonts w:ascii="Calibri" w:hAnsi="Calibri" w:eastAsia="Calibri" w:cs="Times New Roman"/>
        </w:rPr>
        <w:t xml:space="preserve"> specific option </w:t>
      </w:r>
      <w:r w:rsidR="00CA7EA9">
        <w:rPr>
          <w:rFonts w:ascii="Calibri" w:hAnsi="Calibri" w:eastAsia="Calibri" w:cs="Times New Roman"/>
        </w:rPr>
        <w:t>was</w:t>
      </w:r>
      <w:r w:rsidR="00D84245">
        <w:rPr>
          <w:rFonts w:ascii="Calibri" w:hAnsi="Calibri" w:eastAsia="Calibri" w:cs="Times New Roman"/>
        </w:rPr>
        <w:t xml:space="preserve"> not available </w:t>
      </w:r>
      <w:r w:rsidR="00BA57A7">
        <w:rPr>
          <w:rFonts w:ascii="Calibri" w:hAnsi="Calibri" w:eastAsia="Calibri" w:cs="Times New Roman"/>
        </w:rPr>
        <w:t>and requi</w:t>
      </w:r>
      <w:r w:rsidR="00CA7EA9">
        <w:rPr>
          <w:rFonts w:ascii="Calibri" w:hAnsi="Calibri" w:eastAsia="Calibri" w:cs="Times New Roman"/>
        </w:rPr>
        <w:t>red</w:t>
      </w:r>
      <w:r w:rsidR="002D2BE7">
        <w:rPr>
          <w:rFonts w:ascii="Calibri" w:hAnsi="Calibri" w:eastAsia="Calibri" w:cs="Times New Roman"/>
        </w:rPr>
        <w:t xml:space="preserve"> the use of the default</w:t>
      </w:r>
      <w:r w:rsidR="00BA57A7">
        <w:rPr>
          <w:rFonts w:ascii="Calibri" w:hAnsi="Calibri" w:eastAsia="Calibri" w:cs="Times New Roman"/>
        </w:rPr>
        <w:t xml:space="preserve"> </w:t>
      </w:r>
      <w:r w:rsidR="00CD6772">
        <w:rPr>
          <w:rFonts w:ascii="Calibri" w:hAnsi="Calibri" w:eastAsia="Calibri" w:cs="Times New Roman"/>
        </w:rPr>
        <w:t>generic</w:t>
      </w:r>
      <w:r w:rsidR="002D2BE7">
        <w:rPr>
          <w:rFonts w:ascii="Calibri" w:hAnsi="Calibri" w:eastAsia="Calibri" w:cs="Times New Roman"/>
        </w:rPr>
        <w:t xml:space="preserve"> option</w:t>
      </w:r>
      <w:r w:rsidR="00CA7EA9">
        <w:rPr>
          <w:rFonts w:ascii="Calibri" w:hAnsi="Calibri" w:eastAsia="Calibri" w:cs="Times New Roman"/>
        </w:rPr>
        <w:t xml:space="preserve"> instead</w:t>
      </w:r>
      <w:r w:rsidR="00BA57A7">
        <w:rPr>
          <w:rFonts w:ascii="Calibri" w:hAnsi="Calibri" w:eastAsia="Calibri" w:cs="Times New Roman"/>
        </w:rPr>
        <w:t>.</w:t>
      </w:r>
    </w:p>
    <w:p w:rsidR="00F015F5" w:rsidP="00CA7EA9" w:rsidRDefault="00080531" w14:paraId="09426EF1" w14:textId="77777777">
      <w:pPr>
        <w:ind w:left="360"/>
        <w:jc w:val="both"/>
        <w:rPr>
          <w:rFonts w:ascii="Calibri" w:hAnsi="Calibri" w:eastAsia="Calibri" w:cs="Times New Roman"/>
        </w:rPr>
      </w:pPr>
      <w:r>
        <w:rPr>
          <w:rFonts w:ascii="Calibri" w:hAnsi="Calibri" w:eastAsia="Calibri" w:cs="Times New Roman"/>
        </w:rPr>
        <w:t xml:space="preserve">For the waste, energy and water usage estimated values were provided by the </w:t>
      </w:r>
      <w:r w:rsidR="00207B91">
        <w:rPr>
          <w:rFonts w:ascii="Calibri" w:hAnsi="Calibri" w:eastAsia="Calibri" w:cs="Times New Roman"/>
        </w:rPr>
        <w:t>E</w:t>
      </w:r>
      <w:r>
        <w:rPr>
          <w:rFonts w:ascii="Calibri" w:hAnsi="Calibri" w:eastAsia="Calibri" w:cs="Times New Roman"/>
        </w:rPr>
        <w:t xml:space="preserve">states and </w:t>
      </w:r>
      <w:r w:rsidR="00207B91">
        <w:rPr>
          <w:rFonts w:ascii="Calibri" w:hAnsi="Calibri" w:eastAsia="Calibri" w:cs="Times New Roman"/>
        </w:rPr>
        <w:t>W</w:t>
      </w:r>
      <w:r>
        <w:rPr>
          <w:rFonts w:ascii="Calibri" w:hAnsi="Calibri" w:eastAsia="Calibri" w:cs="Times New Roman"/>
        </w:rPr>
        <w:t>aste management departments.</w:t>
      </w:r>
      <w:r w:rsidR="00270C5D">
        <w:rPr>
          <w:rFonts w:ascii="Calibri" w:hAnsi="Calibri" w:eastAsia="Calibri" w:cs="Times New Roman"/>
        </w:rPr>
        <w:t xml:space="preserve"> </w:t>
      </w:r>
    </w:p>
    <w:p w:rsidR="00390900" w:rsidP="00CA7EA9" w:rsidRDefault="00270C5D" w14:paraId="4CC6BBFB" w14:textId="6212030E">
      <w:pPr>
        <w:ind w:left="360"/>
        <w:jc w:val="both"/>
        <w:rPr>
          <w:rFonts w:ascii="Calibri" w:hAnsi="Calibri" w:eastAsia="Calibri" w:cs="Times New Roman"/>
        </w:rPr>
      </w:pPr>
      <w:r>
        <w:rPr>
          <w:rFonts w:ascii="Calibri" w:hAnsi="Calibri" w:eastAsia="Calibri" w:cs="Times New Roman"/>
        </w:rPr>
        <w:t xml:space="preserve">The following section </w:t>
      </w:r>
      <w:r w:rsidR="006053E4">
        <w:rPr>
          <w:rFonts w:ascii="Calibri" w:hAnsi="Calibri" w:eastAsia="Calibri" w:cs="Times New Roman"/>
        </w:rPr>
        <w:t>presents</w:t>
      </w:r>
      <w:r>
        <w:rPr>
          <w:rFonts w:ascii="Calibri" w:hAnsi="Calibri" w:eastAsia="Calibri" w:cs="Times New Roman"/>
        </w:rPr>
        <w:t xml:space="preserve"> the data used and describes the </w:t>
      </w:r>
      <w:r w:rsidR="004B600D">
        <w:rPr>
          <w:rFonts w:ascii="Calibri" w:hAnsi="Calibri" w:eastAsia="Calibri" w:cs="Times New Roman"/>
        </w:rPr>
        <w:t xml:space="preserve">assumptions used and limitations of </w:t>
      </w:r>
      <w:r w:rsidR="00155B2A">
        <w:rPr>
          <w:rFonts w:ascii="Calibri" w:hAnsi="Calibri" w:eastAsia="Calibri" w:cs="Times New Roman"/>
        </w:rPr>
        <w:t>each of the activity types.</w:t>
      </w:r>
    </w:p>
    <w:p w:rsidR="006116FE" w:rsidP="00310D85" w:rsidRDefault="006C1541" w14:paraId="3EEC5D3C" w14:textId="3AA71F23">
      <w:pPr>
        <w:ind w:left="360"/>
        <w:jc w:val="both"/>
        <w:rPr>
          <w:rFonts w:ascii="Calibri" w:hAnsi="Calibri" w:eastAsia="Calibri" w:cs="Times New Roman"/>
        </w:rPr>
      </w:pPr>
      <w:r w:rsidRPr="00E82D2D">
        <w:rPr>
          <w:rFonts w:ascii="Calibri" w:hAnsi="Calibri" w:eastAsia="Calibri" w:cs="Times New Roman"/>
        </w:rPr>
        <w:t>The analysis of the data pr</w:t>
      </w:r>
      <w:r w:rsidR="00482AD9">
        <w:rPr>
          <w:rFonts w:ascii="Calibri" w:hAnsi="Calibri" w:eastAsia="Calibri" w:cs="Times New Roman"/>
        </w:rPr>
        <w:t>ovides</w:t>
      </w:r>
      <w:r w:rsidRPr="00E82D2D">
        <w:rPr>
          <w:rFonts w:ascii="Calibri" w:hAnsi="Calibri" w:eastAsia="Calibri" w:cs="Times New Roman"/>
        </w:rPr>
        <w:t xml:space="preserve"> further understanding of the hotspots within the pathway</w:t>
      </w:r>
      <w:r w:rsidR="00F10655">
        <w:rPr>
          <w:rFonts w:ascii="Calibri" w:hAnsi="Calibri" w:eastAsia="Calibri" w:cs="Times New Roman"/>
        </w:rPr>
        <w:t>,</w:t>
      </w:r>
      <w:r w:rsidRPr="00E82D2D">
        <w:rPr>
          <w:rFonts w:ascii="Calibri" w:hAnsi="Calibri" w:eastAsia="Calibri" w:cs="Times New Roman"/>
        </w:rPr>
        <w:t xml:space="preserve"> allow</w:t>
      </w:r>
      <w:r w:rsidR="00482AD9">
        <w:rPr>
          <w:rFonts w:ascii="Calibri" w:hAnsi="Calibri" w:eastAsia="Calibri" w:cs="Times New Roman"/>
        </w:rPr>
        <w:t>s</w:t>
      </w:r>
      <w:r w:rsidRPr="00E82D2D">
        <w:rPr>
          <w:rFonts w:ascii="Calibri" w:hAnsi="Calibri" w:eastAsia="Calibri" w:cs="Times New Roman"/>
        </w:rPr>
        <w:t xml:space="preserve"> recommendations to be made to deliver improvements and reduce the carbon intensity of the Haemodialysis </w:t>
      </w:r>
      <w:r w:rsidR="00F10655">
        <w:rPr>
          <w:rFonts w:ascii="Calibri" w:hAnsi="Calibri" w:eastAsia="Calibri" w:cs="Times New Roman"/>
        </w:rPr>
        <w:t>service</w:t>
      </w:r>
      <w:r w:rsidRPr="00E82D2D">
        <w:rPr>
          <w:rFonts w:ascii="Calibri" w:hAnsi="Calibri" w:eastAsia="Calibri" w:cs="Times New Roman"/>
        </w:rPr>
        <w:t>.</w:t>
      </w:r>
    </w:p>
    <w:p w:rsidR="00F10655" w:rsidP="00310D85" w:rsidRDefault="00F10655" w14:paraId="415AA886" w14:textId="77777777">
      <w:pPr>
        <w:ind w:left="360"/>
        <w:jc w:val="both"/>
        <w:rPr>
          <w:rFonts w:ascii="Calibri" w:hAnsi="Calibri" w:eastAsia="Calibri" w:cs="Times New Roman"/>
        </w:rPr>
      </w:pPr>
    </w:p>
    <w:p w:rsidR="006116FE" w:rsidP="00322868" w:rsidRDefault="006116FE" w14:paraId="7A33EAC8" w14:textId="6E905563">
      <w:pPr>
        <w:jc w:val="both"/>
        <w:rPr>
          <w:rFonts w:ascii="Calibri" w:hAnsi="Calibri" w:eastAsia="Calibri" w:cs="Times New Roman"/>
          <w:b/>
          <w:bCs/>
          <w:color w:val="538135" w:themeColor="accent6" w:themeShade="BF"/>
          <w:sz w:val="24"/>
          <w:szCs w:val="24"/>
        </w:rPr>
      </w:pPr>
      <w:r w:rsidRPr="006116FE">
        <w:rPr>
          <w:rFonts w:ascii="Calibri" w:hAnsi="Calibri" w:eastAsia="Calibri" w:cs="Times New Roman"/>
          <w:b/>
          <w:bCs/>
          <w:color w:val="538135" w:themeColor="accent6" w:themeShade="BF"/>
          <w:sz w:val="24"/>
          <w:szCs w:val="24"/>
        </w:rPr>
        <w:lastRenderedPageBreak/>
        <w:t>Total renal care emissions by activity</w:t>
      </w:r>
    </w:p>
    <w:p w:rsidRPr="00617458" w:rsidR="00617458" w:rsidP="006C1541" w:rsidRDefault="00617458" w14:paraId="71CA6C62" w14:textId="5DD61D37">
      <w:pPr>
        <w:ind w:left="360"/>
        <w:jc w:val="both"/>
        <w:rPr>
          <w:rFonts w:ascii="Calibri" w:hAnsi="Calibri" w:eastAsia="Calibri" w:cs="Times New Roman"/>
        </w:rPr>
      </w:pPr>
      <w:r>
        <w:rPr>
          <w:rFonts w:ascii="Calibri" w:hAnsi="Calibri" w:eastAsia="Calibri" w:cs="Times New Roman"/>
        </w:rPr>
        <w:t>The table below demonstrates the carbon emissions associated with each activity</w:t>
      </w:r>
      <w:r w:rsidR="007768DA">
        <w:rPr>
          <w:rFonts w:ascii="Calibri" w:hAnsi="Calibri" w:eastAsia="Calibri" w:cs="Times New Roman"/>
        </w:rPr>
        <w:t xml:space="preserve"> and provides a breakdown of the carbon impact per session and contribution to the overall carbon footprint.</w:t>
      </w:r>
    </w:p>
    <w:tbl>
      <w:tblPr>
        <w:tblW w:w="10206" w:type="dxa"/>
        <w:tblInd w:w="-10" w:type="dxa"/>
        <w:tblCellMar>
          <w:top w:w="15" w:type="dxa"/>
          <w:bottom w:w="15" w:type="dxa"/>
        </w:tblCellMar>
        <w:tblLook w:val="04A0" w:firstRow="1" w:lastRow="0" w:firstColumn="1" w:lastColumn="0" w:noHBand="0" w:noVBand="1"/>
      </w:tblPr>
      <w:tblGrid>
        <w:gridCol w:w="2636"/>
        <w:gridCol w:w="2326"/>
        <w:gridCol w:w="2409"/>
        <w:gridCol w:w="2835"/>
      </w:tblGrid>
      <w:tr w:rsidRPr="00470A69" w:rsidR="00ED79D8" w:rsidTr="001A6506" w14:paraId="0C89AA74" w14:textId="77777777">
        <w:trPr>
          <w:trHeight w:val="300"/>
        </w:trPr>
        <w:tc>
          <w:tcPr>
            <w:tcW w:w="2636" w:type="dxa"/>
            <w:tcBorders>
              <w:top w:val="single" w:color="000000" w:sz="8" w:space="0"/>
              <w:left w:val="single" w:color="000000" w:sz="8" w:space="0"/>
              <w:bottom w:val="single" w:color="000000" w:sz="4" w:space="0"/>
              <w:right w:val="single" w:color="000000" w:sz="4" w:space="0"/>
            </w:tcBorders>
            <w:shd w:val="clear" w:color="auto" w:fill="002060"/>
            <w:noWrap/>
            <w:vAlign w:val="bottom"/>
            <w:hideMark/>
          </w:tcPr>
          <w:p w:rsidRPr="00470A69" w:rsidR="00ED79D8" w:rsidP="00470A69" w:rsidRDefault="00ED79D8" w14:paraId="76D8E07D" w14:textId="77777777">
            <w:pPr>
              <w:spacing w:after="0" w:line="240" w:lineRule="auto"/>
              <w:rPr>
                <w:rFonts w:ascii="Calibri" w:hAnsi="Calibri" w:eastAsia="Times New Roman" w:cs="Calibri"/>
                <w:b/>
                <w:bCs/>
                <w:color w:val="FFFFFF" w:themeColor="background1"/>
                <w:lang w:eastAsia="en-GB"/>
              </w:rPr>
            </w:pPr>
            <w:r w:rsidRPr="00470A69">
              <w:rPr>
                <w:rFonts w:ascii="Calibri" w:hAnsi="Calibri" w:eastAsia="Times New Roman" w:cs="Calibri"/>
                <w:b/>
                <w:bCs/>
                <w:color w:val="FFFFFF" w:themeColor="background1"/>
                <w:lang w:eastAsia="en-GB"/>
              </w:rPr>
              <w:t>Activity</w:t>
            </w:r>
          </w:p>
        </w:tc>
        <w:tc>
          <w:tcPr>
            <w:tcW w:w="2326" w:type="dxa"/>
            <w:tcBorders>
              <w:top w:val="single" w:color="000000" w:sz="8" w:space="0"/>
              <w:left w:val="single" w:color="000000" w:sz="4" w:space="0"/>
              <w:bottom w:val="single" w:color="000000" w:sz="4" w:space="0"/>
              <w:right w:val="single" w:color="000000" w:sz="4" w:space="0"/>
            </w:tcBorders>
            <w:shd w:val="clear" w:color="auto" w:fill="002060"/>
            <w:noWrap/>
            <w:vAlign w:val="bottom"/>
            <w:hideMark/>
          </w:tcPr>
          <w:p w:rsidRPr="00470A69" w:rsidR="00ED79D8" w:rsidP="00470A69" w:rsidRDefault="00ED79D8" w14:paraId="792916E4" w14:textId="02E89575">
            <w:pPr>
              <w:spacing w:after="0" w:line="240" w:lineRule="auto"/>
              <w:rPr>
                <w:rFonts w:ascii="Calibri" w:hAnsi="Calibri" w:eastAsia="Times New Roman" w:cs="Calibri"/>
                <w:b/>
                <w:bCs/>
                <w:color w:val="FFFFFF" w:themeColor="background1"/>
                <w:lang w:eastAsia="en-GB"/>
              </w:rPr>
            </w:pPr>
            <w:r w:rsidRPr="00470A69">
              <w:rPr>
                <w:rFonts w:ascii="Calibri" w:hAnsi="Calibri" w:eastAsia="Times New Roman" w:cs="Calibri"/>
                <w:b/>
                <w:bCs/>
                <w:color w:val="FFFFFF" w:themeColor="background1"/>
                <w:lang w:eastAsia="en-GB"/>
              </w:rPr>
              <w:t>Annual Impact</w:t>
            </w:r>
            <w:r>
              <w:rPr>
                <w:rFonts w:ascii="Calibri" w:hAnsi="Calibri" w:eastAsia="Times New Roman" w:cs="Calibri"/>
                <w:b/>
                <w:bCs/>
                <w:color w:val="FFFFFF" w:themeColor="background1"/>
                <w:lang w:eastAsia="en-GB"/>
              </w:rPr>
              <w:t xml:space="preserve"> </w:t>
            </w:r>
            <w:r w:rsidRPr="00ED79D8">
              <w:rPr>
                <w:rFonts w:ascii="Calibri" w:hAnsi="Calibri" w:eastAsia="Times New Roman" w:cs="Calibri"/>
                <w:b/>
                <w:bCs/>
                <w:color w:val="FFFFFF" w:themeColor="background1"/>
                <w:lang w:eastAsia="en-GB"/>
              </w:rPr>
              <w:t>kgCO2e</w:t>
            </w:r>
          </w:p>
        </w:tc>
        <w:tc>
          <w:tcPr>
            <w:tcW w:w="2409" w:type="dxa"/>
            <w:tcBorders>
              <w:top w:val="single" w:color="000000" w:sz="8" w:space="0"/>
              <w:left w:val="single" w:color="000000" w:sz="4" w:space="0"/>
              <w:bottom w:val="single" w:color="000000" w:sz="4" w:space="0"/>
              <w:right w:val="single" w:color="000000" w:sz="4" w:space="0"/>
            </w:tcBorders>
            <w:shd w:val="clear" w:color="auto" w:fill="002060"/>
            <w:noWrap/>
            <w:vAlign w:val="bottom"/>
            <w:hideMark/>
          </w:tcPr>
          <w:p w:rsidRPr="00470A69" w:rsidR="00ED79D8" w:rsidP="00470A69" w:rsidRDefault="0033458F" w14:paraId="584D151B" w14:textId="3D5B1F5B">
            <w:pPr>
              <w:spacing w:after="0" w:line="240" w:lineRule="auto"/>
              <w:rPr>
                <w:rFonts w:ascii="Calibri" w:hAnsi="Calibri" w:eastAsia="Times New Roman" w:cs="Calibri"/>
                <w:b/>
                <w:bCs/>
                <w:color w:val="FFFFFF" w:themeColor="background1"/>
                <w:lang w:eastAsia="en-GB"/>
              </w:rPr>
            </w:pPr>
            <w:r>
              <w:rPr>
                <w:rFonts w:ascii="Calibri" w:hAnsi="Calibri" w:eastAsia="Times New Roman" w:cs="Calibri"/>
                <w:b/>
                <w:bCs/>
                <w:color w:val="FFFFFF" w:themeColor="background1"/>
                <w:lang w:eastAsia="en-GB"/>
              </w:rPr>
              <w:t xml:space="preserve"> Session </w:t>
            </w:r>
            <w:r w:rsidRPr="00470A69" w:rsidR="00ED79D8">
              <w:rPr>
                <w:rFonts w:ascii="Calibri" w:hAnsi="Calibri" w:eastAsia="Times New Roman" w:cs="Calibri"/>
                <w:b/>
                <w:bCs/>
                <w:color w:val="FFFFFF" w:themeColor="background1"/>
                <w:lang w:eastAsia="en-GB"/>
              </w:rPr>
              <w:t xml:space="preserve">Impact </w:t>
            </w:r>
            <w:r w:rsidRPr="00ED79D8" w:rsidR="00ED79D8">
              <w:rPr>
                <w:rFonts w:ascii="Calibri" w:hAnsi="Calibri" w:eastAsia="Times New Roman" w:cs="Calibri"/>
                <w:b/>
                <w:bCs/>
                <w:color w:val="FFFFFF" w:themeColor="background1"/>
                <w:lang w:eastAsia="en-GB"/>
              </w:rPr>
              <w:t>kgCO2e</w:t>
            </w:r>
            <w:r w:rsidRPr="00470A69" w:rsidR="00ED79D8">
              <w:rPr>
                <w:rFonts w:ascii="Calibri" w:hAnsi="Calibri" w:eastAsia="Times New Roman" w:cs="Calibri"/>
                <w:b/>
                <w:bCs/>
                <w:color w:val="FFFFFF" w:themeColor="background1"/>
                <w:lang w:eastAsia="en-GB"/>
              </w:rPr>
              <w:t xml:space="preserve"> </w:t>
            </w:r>
          </w:p>
        </w:tc>
        <w:tc>
          <w:tcPr>
            <w:tcW w:w="2835" w:type="dxa"/>
            <w:tcBorders>
              <w:top w:val="single" w:color="000000" w:sz="8" w:space="0"/>
              <w:left w:val="single" w:color="000000" w:sz="4" w:space="0"/>
              <w:bottom w:val="single" w:color="000000" w:sz="4" w:space="0"/>
              <w:right w:val="single" w:color="000000" w:sz="8" w:space="0"/>
            </w:tcBorders>
            <w:shd w:val="clear" w:color="auto" w:fill="002060"/>
            <w:noWrap/>
            <w:vAlign w:val="bottom"/>
            <w:hideMark/>
          </w:tcPr>
          <w:p w:rsidRPr="00470A69" w:rsidR="00ED79D8" w:rsidP="0033458F" w:rsidRDefault="00ED79D8" w14:paraId="5BD16E84" w14:textId="77777777">
            <w:pPr>
              <w:spacing w:after="0" w:line="240" w:lineRule="auto"/>
              <w:jc w:val="center"/>
              <w:rPr>
                <w:rFonts w:ascii="Calibri" w:hAnsi="Calibri" w:eastAsia="Times New Roman" w:cs="Calibri"/>
                <w:b/>
                <w:bCs/>
                <w:color w:val="FFFFFF" w:themeColor="background1"/>
                <w:lang w:eastAsia="en-GB"/>
              </w:rPr>
            </w:pPr>
            <w:r w:rsidRPr="00470A69">
              <w:rPr>
                <w:rFonts w:ascii="Calibri" w:hAnsi="Calibri" w:eastAsia="Times New Roman" w:cs="Calibri"/>
                <w:b/>
                <w:bCs/>
                <w:color w:val="FFFFFF" w:themeColor="background1"/>
                <w:lang w:eastAsia="en-GB"/>
              </w:rPr>
              <w:t>% Contribution</w:t>
            </w:r>
          </w:p>
        </w:tc>
      </w:tr>
      <w:tr w:rsidRPr="00470A69" w:rsidR="00ED79D8" w:rsidTr="001A6506" w14:paraId="41D077E9"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185CD838"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Equipment</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CDF9909"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22,313.10</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120D6350"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0.46</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083DB189"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3%</w:t>
            </w:r>
          </w:p>
        </w:tc>
      </w:tr>
      <w:tr w:rsidRPr="00470A69" w:rsidR="00ED79D8" w:rsidTr="001A6506" w14:paraId="5D711BCC"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759506C0"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Water</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7130DD2C"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10,146.94</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2CD05CA3"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0.21</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26887EB1"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1%</w:t>
            </w:r>
          </w:p>
        </w:tc>
      </w:tr>
      <w:tr w:rsidRPr="00470A69" w:rsidR="00ED79D8" w:rsidTr="001A6506" w14:paraId="5522D360"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57445699" w14:textId="02063C10">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Utilities (electricity &amp; heating)</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73BAFE3A"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201,772.17</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13D8D552"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4.19</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3EEE403A"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24%</w:t>
            </w:r>
          </w:p>
        </w:tc>
      </w:tr>
      <w:tr w:rsidRPr="00470A69" w:rsidR="00ED79D8" w:rsidTr="001A6506" w14:paraId="0FD385DF"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3413FB2B"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Pharmaceuticals</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7D976CAB"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161,990.52</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09AB5CB"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3.36</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4DF6CAEB"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20%</w:t>
            </w:r>
          </w:p>
        </w:tc>
      </w:tr>
      <w:tr w:rsidRPr="00470A69" w:rsidR="00ED79D8" w:rsidTr="001A6506" w14:paraId="2A157CB1"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40C37016"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Consumables</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24AFDF0D"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60,689.99</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238192AA"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1.26</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1F520EFB"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7%</w:t>
            </w:r>
          </w:p>
        </w:tc>
      </w:tr>
      <w:tr w:rsidRPr="00470A69" w:rsidR="00ED79D8" w:rsidTr="001A6506" w14:paraId="01E057AA"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155D4D0C"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Waste</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761886C"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45,613.79</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6727428"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0.95</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06F50C2A"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6%</w:t>
            </w:r>
          </w:p>
        </w:tc>
      </w:tr>
      <w:tr w:rsidRPr="00470A69" w:rsidR="00ED79D8" w:rsidTr="001A6506" w14:paraId="24B73744"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168FD546"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Staff Travel</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26F5A0F8"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71,290.68</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630005A"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1.48</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56520C85"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9%</w:t>
            </w:r>
          </w:p>
        </w:tc>
      </w:tr>
      <w:tr w:rsidRPr="00470A69" w:rsidR="00ED79D8" w:rsidTr="001A6506" w14:paraId="25080C48" w14:textId="77777777">
        <w:trPr>
          <w:trHeight w:val="300"/>
        </w:trPr>
        <w:tc>
          <w:tcPr>
            <w:tcW w:w="2636" w:type="dxa"/>
            <w:tcBorders>
              <w:top w:val="single" w:color="000000" w:sz="4" w:space="0"/>
              <w:left w:val="single" w:color="000000" w:sz="8" w:space="0"/>
              <w:bottom w:val="single" w:color="000000" w:sz="4" w:space="0"/>
              <w:right w:val="single" w:color="000000" w:sz="4" w:space="0"/>
            </w:tcBorders>
            <w:noWrap/>
            <w:vAlign w:val="bottom"/>
            <w:hideMark/>
          </w:tcPr>
          <w:p w:rsidRPr="00470A69" w:rsidR="00ED79D8" w:rsidP="00470A69" w:rsidRDefault="00ED79D8" w14:paraId="23CFE33A" w14:textId="77777777">
            <w:pPr>
              <w:spacing w:after="0" w:line="240" w:lineRule="auto"/>
              <w:rPr>
                <w:rFonts w:ascii="Calibri" w:hAnsi="Calibri" w:eastAsia="Times New Roman" w:cs="Calibri"/>
                <w:color w:val="000000"/>
                <w:lang w:eastAsia="en-GB"/>
              </w:rPr>
            </w:pPr>
            <w:r w:rsidRPr="00470A69">
              <w:rPr>
                <w:rFonts w:ascii="Calibri" w:hAnsi="Calibri" w:eastAsia="Times New Roman" w:cs="Calibri"/>
                <w:color w:val="000000"/>
                <w:lang w:eastAsia="en-GB"/>
              </w:rPr>
              <w:t>Patient Travel</w:t>
            </w:r>
          </w:p>
        </w:tc>
        <w:tc>
          <w:tcPr>
            <w:tcW w:w="2326"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794CF265"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254,130.28</w:t>
            </w:r>
          </w:p>
        </w:tc>
        <w:tc>
          <w:tcPr>
            <w:tcW w:w="2409" w:type="dxa"/>
            <w:tcBorders>
              <w:top w:val="single" w:color="000000" w:sz="4" w:space="0"/>
              <w:left w:val="single" w:color="000000" w:sz="4" w:space="0"/>
              <w:bottom w:val="single" w:color="000000" w:sz="4" w:space="0"/>
              <w:right w:val="single" w:color="000000" w:sz="4" w:space="0"/>
            </w:tcBorders>
            <w:noWrap/>
            <w:vAlign w:val="bottom"/>
            <w:hideMark/>
          </w:tcPr>
          <w:p w:rsidRPr="00470A69" w:rsidR="00ED79D8" w:rsidP="00470A69" w:rsidRDefault="00ED79D8" w14:paraId="3C9B7286"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5.27</w:t>
            </w:r>
          </w:p>
        </w:tc>
        <w:tc>
          <w:tcPr>
            <w:tcW w:w="2835" w:type="dxa"/>
            <w:tcBorders>
              <w:top w:val="single" w:color="000000" w:sz="4" w:space="0"/>
              <w:left w:val="single" w:color="000000" w:sz="4" w:space="0"/>
              <w:bottom w:val="single" w:color="000000" w:sz="4" w:space="0"/>
              <w:right w:val="single" w:color="000000" w:sz="8" w:space="0"/>
            </w:tcBorders>
            <w:noWrap/>
            <w:vAlign w:val="bottom"/>
            <w:hideMark/>
          </w:tcPr>
          <w:p w:rsidRPr="00470A69" w:rsidR="00ED79D8" w:rsidP="00470A69" w:rsidRDefault="00ED79D8" w14:paraId="3FCFE16E" w14:textId="77777777">
            <w:pPr>
              <w:spacing w:after="0" w:line="240" w:lineRule="auto"/>
              <w:jc w:val="center"/>
              <w:rPr>
                <w:rFonts w:ascii="Calibri" w:hAnsi="Calibri" w:eastAsia="Times New Roman" w:cs="Calibri"/>
                <w:color w:val="000000"/>
                <w:lang w:eastAsia="en-GB"/>
              </w:rPr>
            </w:pPr>
            <w:r w:rsidRPr="00470A69">
              <w:rPr>
                <w:rFonts w:ascii="Calibri" w:hAnsi="Calibri" w:eastAsia="Times New Roman" w:cs="Calibri"/>
                <w:color w:val="000000"/>
                <w:lang w:eastAsia="en-GB"/>
              </w:rPr>
              <w:t>31%</w:t>
            </w:r>
          </w:p>
        </w:tc>
      </w:tr>
      <w:tr w:rsidRPr="00470A69" w:rsidR="00ED79D8" w:rsidTr="001A6506" w14:paraId="1DDF871E" w14:textId="77777777">
        <w:trPr>
          <w:trHeight w:val="300"/>
        </w:trPr>
        <w:tc>
          <w:tcPr>
            <w:tcW w:w="2636" w:type="dxa"/>
            <w:tcBorders>
              <w:top w:val="single" w:color="000000" w:sz="4" w:space="0"/>
              <w:left w:val="single" w:color="000000" w:sz="8" w:space="0"/>
              <w:bottom w:val="single" w:color="000000" w:sz="8" w:space="0"/>
              <w:right w:val="single" w:color="000000" w:sz="4" w:space="0"/>
            </w:tcBorders>
            <w:noWrap/>
            <w:vAlign w:val="bottom"/>
            <w:hideMark/>
          </w:tcPr>
          <w:p w:rsidRPr="00470A69" w:rsidR="00ED79D8" w:rsidP="00470A69" w:rsidRDefault="00ED79D8" w14:paraId="40CBFF65" w14:textId="77777777">
            <w:pPr>
              <w:spacing w:after="0" w:line="240" w:lineRule="auto"/>
              <w:rPr>
                <w:rFonts w:ascii="Calibri" w:hAnsi="Calibri" w:eastAsia="Times New Roman" w:cs="Calibri"/>
                <w:b/>
                <w:bCs/>
                <w:color w:val="000000"/>
                <w:lang w:eastAsia="en-GB"/>
              </w:rPr>
            </w:pPr>
            <w:r w:rsidRPr="00470A69">
              <w:rPr>
                <w:rFonts w:ascii="Calibri" w:hAnsi="Calibri" w:eastAsia="Times New Roman" w:cs="Calibri"/>
                <w:b/>
                <w:bCs/>
                <w:color w:val="000000"/>
                <w:lang w:eastAsia="en-GB"/>
              </w:rPr>
              <w:t>Total</w:t>
            </w:r>
          </w:p>
        </w:tc>
        <w:tc>
          <w:tcPr>
            <w:tcW w:w="2326" w:type="dxa"/>
            <w:tcBorders>
              <w:top w:val="single" w:color="000000" w:sz="4" w:space="0"/>
              <w:left w:val="single" w:color="000000" w:sz="4" w:space="0"/>
              <w:bottom w:val="single" w:color="000000" w:sz="8" w:space="0"/>
              <w:right w:val="single" w:color="000000" w:sz="4" w:space="0"/>
            </w:tcBorders>
            <w:noWrap/>
            <w:vAlign w:val="bottom"/>
            <w:hideMark/>
          </w:tcPr>
          <w:p w:rsidRPr="00470A69" w:rsidR="00ED79D8" w:rsidP="00470A69" w:rsidRDefault="00ED79D8" w14:paraId="6D11AC57" w14:textId="77777777">
            <w:pPr>
              <w:spacing w:after="0" w:line="240" w:lineRule="auto"/>
              <w:jc w:val="center"/>
              <w:rPr>
                <w:rFonts w:ascii="Calibri" w:hAnsi="Calibri" w:eastAsia="Times New Roman" w:cs="Calibri"/>
                <w:b/>
                <w:bCs/>
                <w:color w:val="000000"/>
                <w:lang w:eastAsia="en-GB"/>
              </w:rPr>
            </w:pPr>
            <w:r w:rsidRPr="00470A69">
              <w:rPr>
                <w:rFonts w:ascii="Calibri" w:hAnsi="Calibri" w:eastAsia="Times New Roman" w:cs="Calibri"/>
                <w:b/>
                <w:bCs/>
                <w:color w:val="000000"/>
                <w:lang w:eastAsia="en-GB"/>
              </w:rPr>
              <w:t>827,947.48</w:t>
            </w:r>
          </w:p>
        </w:tc>
        <w:tc>
          <w:tcPr>
            <w:tcW w:w="2409" w:type="dxa"/>
            <w:tcBorders>
              <w:top w:val="single" w:color="000000" w:sz="4" w:space="0"/>
              <w:left w:val="single" w:color="000000" w:sz="4" w:space="0"/>
              <w:bottom w:val="single" w:color="000000" w:sz="8" w:space="0"/>
              <w:right w:val="single" w:color="000000" w:sz="4" w:space="0"/>
            </w:tcBorders>
            <w:noWrap/>
            <w:vAlign w:val="bottom"/>
            <w:hideMark/>
          </w:tcPr>
          <w:p w:rsidRPr="00470A69" w:rsidR="00ED79D8" w:rsidP="00470A69" w:rsidRDefault="00ED79D8" w14:paraId="52F2F208" w14:textId="77777777">
            <w:pPr>
              <w:spacing w:after="0" w:line="240" w:lineRule="auto"/>
              <w:jc w:val="center"/>
              <w:rPr>
                <w:rFonts w:ascii="Calibri" w:hAnsi="Calibri" w:eastAsia="Times New Roman" w:cs="Calibri"/>
                <w:b/>
                <w:bCs/>
                <w:color w:val="000000"/>
                <w:lang w:eastAsia="en-GB"/>
              </w:rPr>
            </w:pPr>
            <w:r w:rsidRPr="00470A69">
              <w:rPr>
                <w:rFonts w:ascii="Calibri" w:hAnsi="Calibri" w:eastAsia="Times New Roman" w:cs="Calibri"/>
                <w:b/>
                <w:bCs/>
                <w:color w:val="000000"/>
                <w:lang w:eastAsia="en-GB"/>
              </w:rPr>
              <w:t>17.18</w:t>
            </w:r>
          </w:p>
        </w:tc>
        <w:tc>
          <w:tcPr>
            <w:tcW w:w="2835" w:type="dxa"/>
            <w:tcBorders>
              <w:top w:val="single" w:color="000000" w:sz="4" w:space="0"/>
              <w:left w:val="single" w:color="000000" w:sz="4" w:space="0"/>
              <w:bottom w:val="single" w:color="000000" w:sz="8" w:space="0"/>
              <w:right w:val="single" w:color="000000" w:sz="8" w:space="0"/>
            </w:tcBorders>
            <w:noWrap/>
            <w:vAlign w:val="bottom"/>
            <w:hideMark/>
          </w:tcPr>
          <w:p w:rsidRPr="00470A69" w:rsidR="00ED79D8" w:rsidP="001A6506" w:rsidRDefault="00ED79D8" w14:paraId="139D8AB9" w14:textId="3E0B1FE0">
            <w:pPr>
              <w:spacing w:after="0" w:line="240" w:lineRule="auto"/>
              <w:jc w:val="center"/>
              <w:rPr>
                <w:rFonts w:ascii="Calibri" w:hAnsi="Calibri" w:eastAsia="Times New Roman" w:cs="Calibri"/>
                <w:b/>
                <w:bCs/>
                <w:color w:val="000000"/>
                <w:lang w:eastAsia="en-GB"/>
              </w:rPr>
            </w:pPr>
            <w:r>
              <w:rPr>
                <w:rFonts w:ascii="Calibri" w:hAnsi="Calibri" w:eastAsia="Times New Roman" w:cs="Calibri"/>
                <w:b/>
                <w:bCs/>
                <w:color w:val="000000"/>
                <w:lang w:eastAsia="en-GB"/>
              </w:rPr>
              <w:t>1</w:t>
            </w:r>
            <w:r w:rsidR="001A6506">
              <w:rPr>
                <w:rFonts w:ascii="Calibri" w:hAnsi="Calibri" w:eastAsia="Times New Roman" w:cs="Calibri"/>
                <w:b/>
                <w:bCs/>
                <w:color w:val="000000"/>
                <w:lang w:eastAsia="en-GB"/>
              </w:rPr>
              <w:t>0</w:t>
            </w:r>
            <w:r>
              <w:rPr>
                <w:rFonts w:ascii="Calibri" w:hAnsi="Calibri" w:eastAsia="Times New Roman" w:cs="Calibri"/>
                <w:b/>
                <w:bCs/>
                <w:color w:val="000000"/>
                <w:lang w:eastAsia="en-GB"/>
              </w:rPr>
              <w:t>0</w:t>
            </w:r>
            <w:r w:rsidR="001A6506">
              <w:rPr>
                <w:rFonts w:ascii="Calibri" w:hAnsi="Calibri" w:eastAsia="Times New Roman" w:cs="Calibri"/>
                <w:b/>
                <w:bCs/>
                <w:color w:val="000000"/>
                <w:lang w:eastAsia="en-GB"/>
              </w:rPr>
              <w:t>%</w:t>
            </w:r>
          </w:p>
        </w:tc>
      </w:tr>
    </w:tbl>
    <w:p w:rsidRPr="001E3C35" w:rsidR="00A30DC1" w:rsidP="00A30DC1" w:rsidRDefault="00A30DC1" w14:paraId="2366A1CA" w14:textId="77777777">
      <w:pPr>
        <w:jc w:val="both"/>
        <w:rPr>
          <w:rFonts w:ascii="Calibri" w:hAnsi="Calibri" w:eastAsia="Calibri" w:cs="Times New Roman"/>
        </w:rPr>
      </w:pPr>
    </w:p>
    <w:p w:rsidRPr="002B20E9" w:rsidR="00D57E2A" w:rsidP="002B20E9" w:rsidRDefault="00D57E2A" w14:paraId="585B9597" w14:textId="17F8FADD">
      <w:pPr>
        <w:pStyle w:val="ListParagraph"/>
        <w:numPr>
          <w:ilvl w:val="1"/>
          <w:numId w:val="30"/>
        </w:numPr>
        <w:jc w:val="both"/>
        <w:rPr>
          <w:rFonts w:cstheme="minorHAnsi"/>
          <w:b/>
          <w:color w:val="538135" w:themeColor="accent6" w:themeShade="BF"/>
          <w:sz w:val="24"/>
          <w:szCs w:val="24"/>
        </w:rPr>
      </w:pPr>
      <w:r w:rsidRPr="002B20E9">
        <w:rPr>
          <w:b/>
          <w:bCs/>
          <w:color w:val="538135" w:themeColor="accent6" w:themeShade="BF"/>
          <w:sz w:val="24"/>
          <w:szCs w:val="24"/>
        </w:rPr>
        <w:t>Patient travel</w:t>
      </w:r>
    </w:p>
    <w:p w:rsidR="00567876" w:rsidP="006408D0" w:rsidRDefault="00155B2A" w14:paraId="106BBDE6" w14:textId="3474A8E7">
      <w:pPr>
        <w:ind w:left="360"/>
        <w:jc w:val="both"/>
        <w:rPr>
          <w:rFonts w:ascii="Calibri" w:hAnsi="Calibri" w:eastAsia="Calibri" w:cs="Times New Roman"/>
        </w:rPr>
      </w:pPr>
      <w:r w:rsidRPr="001E3C35">
        <w:rPr>
          <w:rFonts w:ascii="Calibri" w:hAnsi="Calibri" w:eastAsia="Calibri" w:cs="Times New Roman"/>
        </w:rPr>
        <w:t xml:space="preserve">The patient data was </w:t>
      </w:r>
      <w:r w:rsidRPr="001E3C35" w:rsidR="00A35C3F">
        <w:rPr>
          <w:rFonts w:ascii="Calibri" w:hAnsi="Calibri" w:eastAsia="Calibri" w:cs="Times New Roman"/>
        </w:rPr>
        <w:t>calculated using the Haemodialysis winter planning data. This data provided the postcode</w:t>
      </w:r>
      <w:r w:rsidRPr="001E3C35" w:rsidR="00ED04D7">
        <w:rPr>
          <w:rFonts w:ascii="Calibri" w:hAnsi="Calibri" w:eastAsia="Calibri" w:cs="Times New Roman"/>
        </w:rPr>
        <w:t xml:space="preserve"> and method of transport</w:t>
      </w:r>
      <w:r w:rsidR="00AB4E83">
        <w:rPr>
          <w:rFonts w:ascii="Calibri" w:hAnsi="Calibri" w:eastAsia="Calibri" w:cs="Times New Roman"/>
        </w:rPr>
        <w:t xml:space="preserve"> </w:t>
      </w:r>
      <w:r w:rsidR="00063DD2">
        <w:rPr>
          <w:rFonts w:ascii="Calibri" w:hAnsi="Calibri" w:eastAsia="Calibri" w:cs="Times New Roman"/>
        </w:rPr>
        <w:t>for</w:t>
      </w:r>
      <w:r w:rsidR="00AB4E83">
        <w:rPr>
          <w:rFonts w:ascii="Calibri" w:hAnsi="Calibri" w:eastAsia="Calibri" w:cs="Times New Roman"/>
        </w:rPr>
        <w:t xml:space="preserve"> patients attending for </w:t>
      </w:r>
      <w:r w:rsidR="00063DD2">
        <w:rPr>
          <w:rFonts w:ascii="Calibri" w:hAnsi="Calibri" w:eastAsia="Calibri" w:cs="Times New Roman"/>
        </w:rPr>
        <w:t>Haemodialysis</w:t>
      </w:r>
      <w:r w:rsidRPr="001E3C35" w:rsidR="00ED04D7">
        <w:rPr>
          <w:rFonts w:ascii="Calibri" w:hAnsi="Calibri" w:eastAsia="Calibri" w:cs="Times New Roman"/>
        </w:rPr>
        <w:t xml:space="preserve">. The postcodes were used to </w:t>
      </w:r>
      <w:r w:rsidRPr="001E3C35" w:rsidR="00DC3BB7">
        <w:rPr>
          <w:rFonts w:ascii="Calibri" w:hAnsi="Calibri" w:eastAsia="Calibri" w:cs="Times New Roman"/>
        </w:rPr>
        <w:t>calculate the distance travelled using google maps.</w:t>
      </w:r>
      <w:r w:rsidRPr="001E3C35" w:rsidR="00567876">
        <w:rPr>
          <w:rFonts w:ascii="Calibri" w:hAnsi="Calibri" w:eastAsia="Calibri" w:cs="Times New Roman"/>
        </w:rPr>
        <w:t xml:space="preserve"> The table below</w:t>
      </w:r>
      <w:r w:rsidRPr="001E3C35" w:rsidR="00A80157">
        <w:rPr>
          <w:rFonts w:ascii="Calibri" w:hAnsi="Calibri" w:eastAsia="Calibri" w:cs="Times New Roman"/>
        </w:rPr>
        <w:t xml:space="preserve"> shows the number of patients, mode of transport and average mileage/ </w:t>
      </w:r>
      <w:r w:rsidR="00BC3AD6">
        <w:rPr>
          <w:rFonts w:ascii="Calibri" w:hAnsi="Calibri" w:eastAsia="Calibri" w:cs="Times New Roman"/>
        </w:rPr>
        <w:t>k</w:t>
      </w:r>
      <w:r w:rsidRPr="001E3C35" w:rsidR="001376A3">
        <w:rPr>
          <w:rFonts w:ascii="Calibri" w:hAnsi="Calibri" w:eastAsia="Calibri" w:cs="Times New Roman"/>
        </w:rPr>
        <w:t>m travelled</w:t>
      </w:r>
      <w:r w:rsidRPr="001E3C35" w:rsidR="00425E34">
        <w:rPr>
          <w:rFonts w:ascii="Calibri" w:hAnsi="Calibri" w:eastAsia="Calibri" w:cs="Times New Roman"/>
        </w:rPr>
        <w:t xml:space="preserve"> for a round trip</w:t>
      </w:r>
      <w:r w:rsidRPr="001E3C35" w:rsidR="001376A3">
        <w:rPr>
          <w:rFonts w:ascii="Calibri" w:hAnsi="Calibri" w:eastAsia="Calibri" w:cs="Times New Roman"/>
        </w:rPr>
        <w:t>.</w:t>
      </w:r>
    </w:p>
    <w:p w:rsidRPr="006408D0" w:rsidR="00D35ED3" w:rsidP="006408D0" w:rsidRDefault="00D35ED3" w14:paraId="2975C540" w14:textId="77777777">
      <w:pPr>
        <w:ind w:left="360"/>
        <w:jc w:val="both"/>
        <w:rPr>
          <w:rFonts w:ascii="Calibri" w:hAnsi="Calibri" w:eastAsia="Calibri" w:cs="Times New Roman"/>
        </w:rPr>
      </w:pPr>
    </w:p>
    <w:tbl>
      <w:tblPr>
        <w:tblW w:w="0" w:type="auto"/>
        <w:jc w:val="center"/>
        <w:tblLayout w:type="fixed"/>
        <w:tblLook w:val="06A0" w:firstRow="1" w:lastRow="0" w:firstColumn="1" w:lastColumn="0" w:noHBand="1" w:noVBand="1"/>
      </w:tblPr>
      <w:tblGrid>
        <w:gridCol w:w="2494"/>
        <w:gridCol w:w="2225"/>
        <w:gridCol w:w="2490"/>
      </w:tblGrid>
      <w:tr w:rsidRPr="00A34C43" w:rsidR="00567876" w:rsidTr="00DA26D3" w14:paraId="0DB36D97" w14:textId="77777777">
        <w:trPr>
          <w:trHeight w:val="255"/>
          <w:jc w:val="center"/>
        </w:trPr>
        <w:tc>
          <w:tcPr>
            <w:tcW w:w="2494" w:type="dxa"/>
            <w:tcBorders>
              <w:top w:val="single" w:color="auto" w:sz="8" w:space="0"/>
              <w:left w:val="single" w:color="auto" w:sz="8" w:space="0"/>
              <w:bottom w:val="single" w:color="auto" w:sz="4" w:space="0"/>
              <w:right w:val="single" w:color="auto" w:sz="4" w:space="0"/>
            </w:tcBorders>
            <w:shd w:val="clear" w:color="auto" w:fill="002060"/>
            <w:tcMar>
              <w:top w:w="15" w:type="dxa"/>
              <w:left w:w="15" w:type="dxa"/>
              <w:right w:w="15" w:type="dxa"/>
            </w:tcMar>
            <w:vAlign w:val="bottom"/>
          </w:tcPr>
          <w:p w:rsidRPr="00A34C43" w:rsidR="00567876" w:rsidP="009D1A27" w:rsidRDefault="00567876" w14:paraId="5D4E32AE" w14:textId="77777777">
            <w:pPr>
              <w:spacing w:after="0"/>
              <w:rPr>
                <w:rFonts w:ascii="Calibri" w:hAnsi="Calibri" w:cs="Calibri"/>
              </w:rPr>
            </w:pPr>
            <w:r w:rsidRPr="00A34C43">
              <w:rPr>
                <w:rFonts w:ascii="Calibri" w:hAnsi="Calibri" w:eastAsia="Arial" w:cs="Calibri"/>
                <w:b/>
                <w:bCs/>
                <w:color w:val="FFFFFF" w:themeColor="background1"/>
                <w:sz w:val="20"/>
                <w:szCs w:val="20"/>
              </w:rPr>
              <w:t>Transport type</w:t>
            </w:r>
          </w:p>
        </w:tc>
        <w:tc>
          <w:tcPr>
            <w:tcW w:w="2225" w:type="dxa"/>
            <w:tcBorders>
              <w:top w:val="single" w:color="auto" w:sz="8" w:space="0"/>
              <w:left w:val="single" w:color="auto" w:sz="4" w:space="0"/>
              <w:bottom w:val="single" w:color="auto" w:sz="4" w:space="0"/>
              <w:right w:val="single" w:color="auto" w:sz="4" w:space="0"/>
            </w:tcBorders>
            <w:shd w:val="clear" w:color="auto" w:fill="002060"/>
            <w:tcMar>
              <w:top w:w="15" w:type="dxa"/>
              <w:left w:w="15" w:type="dxa"/>
              <w:right w:w="15" w:type="dxa"/>
            </w:tcMar>
            <w:vAlign w:val="bottom"/>
          </w:tcPr>
          <w:p w:rsidRPr="00A34C43" w:rsidR="00567876" w:rsidP="009D1A27" w:rsidRDefault="00567876" w14:paraId="1BFB230A" w14:textId="77777777">
            <w:pPr>
              <w:spacing w:after="0"/>
              <w:jc w:val="center"/>
              <w:rPr>
                <w:rFonts w:ascii="Calibri" w:hAnsi="Calibri" w:cs="Calibri"/>
              </w:rPr>
            </w:pPr>
            <w:r w:rsidRPr="00A34C43">
              <w:rPr>
                <w:rFonts w:ascii="Calibri" w:hAnsi="Calibri" w:eastAsia="Arial" w:cs="Calibri"/>
                <w:b/>
                <w:bCs/>
                <w:color w:val="FFFFFF" w:themeColor="background1"/>
                <w:sz w:val="20"/>
                <w:szCs w:val="20"/>
              </w:rPr>
              <w:t>Number of patients</w:t>
            </w:r>
          </w:p>
        </w:tc>
        <w:tc>
          <w:tcPr>
            <w:tcW w:w="2490" w:type="dxa"/>
            <w:tcBorders>
              <w:top w:val="single" w:color="auto" w:sz="8" w:space="0"/>
              <w:left w:val="single" w:color="auto" w:sz="4" w:space="0"/>
              <w:bottom w:val="single" w:color="auto" w:sz="4" w:space="0"/>
              <w:right w:val="single" w:color="auto" w:sz="8" w:space="0"/>
            </w:tcBorders>
            <w:shd w:val="clear" w:color="auto" w:fill="002060"/>
            <w:tcMar>
              <w:top w:w="15" w:type="dxa"/>
              <w:left w:w="15" w:type="dxa"/>
              <w:right w:w="15" w:type="dxa"/>
            </w:tcMar>
            <w:vAlign w:val="bottom"/>
          </w:tcPr>
          <w:p w:rsidRPr="00A34C43" w:rsidR="00567876" w:rsidP="009D1A27" w:rsidRDefault="00567876" w14:paraId="0C7C0AB5" w14:textId="77777777">
            <w:pPr>
              <w:spacing w:after="0"/>
              <w:jc w:val="center"/>
              <w:rPr>
                <w:rFonts w:ascii="Calibri" w:hAnsi="Calibri" w:eastAsia="Arial" w:cs="Calibri"/>
                <w:b/>
                <w:bCs/>
                <w:color w:val="FFFFFF" w:themeColor="background1"/>
                <w:sz w:val="20"/>
                <w:szCs w:val="20"/>
              </w:rPr>
            </w:pPr>
            <w:r w:rsidRPr="00A34C43">
              <w:rPr>
                <w:rFonts w:ascii="Calibri" w:hAnsi="Calibri" w:eastAsia="Arial" w:cs="Calibri"/>
                <w:b/>
                <w:bCs/>
                <w:color w:val="FFFFFF" w:themeColor="background1"/>
                <w:sz w:val="20"/>
                <w:szCs w:val="20"/>
              </w:rPr>
              <w:t>Average milage</w:t>
            </w:r>
          </w:p>
        </w:tc>
      </w:tr>
      <w:tr w:rsidRPr="00A34C43" w:rsidR="00567876" w:rsidTr="00DA26D3" w14:paraId="2CCBF13B" w14:textId="77777777">
        <w:trPr>
          <w:trHeight w:val="255"/>
          <w:jc w:val="center"/>
        </w:trPr>
        <w:tc>
          <w:tcPr>
            <w:tcW w:w="2494"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377FF74C" w14:textId="77777777">
            <w:pPr>
              <w:spacing w:after="0"/>
              <w:rPr>
                <w:rFonts w:ascii="Calibri" w:hAnsi="Calibri" w:cs="Calibri"/>
              </w:rPr>
            </w:pPr>
            <w:r w:rsidRPr="00A34C43">
              <w:rPr>
                <w:rFonts w:ascii="Calibri" w:hAnsi="Calibri" w:eastAsia="Arial" w:cs="Calibri"/>
                <w:color w:val="000000" w:themeColor="text1"/>
                <w:sz w:val="20"/>
                <w:szCs w:val="20"/>
              </w:rPr>
              <w:t>Car/ carer transport</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433EF65A" w14:textId="77777777">
            <w:pPr>
              <w:spacing w:after="0"/>
              <w:jc w:val="center"/>
              <w:rPr>
                <w:rFonts w:ascii="Calibri" w:hAnsi="Calibri" w:cs="Calibri"/>
              </w:rPr>
            </w:pPr>
            <w:r w:rsidRPr="00A34C43">
              <w:rPr>
                <w:rFonts w:ascii="Calibri" w:hAnsi="Calibri" w:eastAsia="Arial" w:cs="Calibri"/>
                <w:color w:val="000000" w:themeColor="text1"/>
                <w:sz w:val="20"/>
                <w:szCs w:val="20"/>
              </w:rPr>
              <w:t>43</w:t>
            </w:r>
          </w:p>
        </w:tc>
        <w:tc>
          <w:tcPr>
            <w:tcW w:w="2490"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Pr="00A34C43" w:rsidR="00567876" w:rsidP="009D1A27" w:rsidRDefault="00567876" w14:paraId="617DA912" w14:textId="77777777">
            <w:pPr>
              <w:spacing w:after="0"/>
              <w:jc w:val="center"/>
              <w:rPr>
                <w:rFonts w:ascii="Calibri" w:hAnsi="Calibri" w:cs="Calibri"/>
              </w:rPr>
            </w:pPr>
            <w:r w:rsidRPr="00A34C43">
              <w:rPr>
                <w:rFonts w:ascii="Calibri" w:hAnsi="Calibri" w:eastAsia="Arial" w:cs="Calibri"/>
                <w:color w:val="000000" w:themeColor="text1"/>
                <w:sz w:val="20"/>
                <w:szCs w:val="20"/>
              </w:rPr>
              <w:t>14.33</w:t>
            </w:r>
          </w:p>
        </w:tc>
      </w:tr>
      <w:tr w:rsidRPr="00A34C43" w:rsidR="00567876" w:rsidTr="00DA26D3" w14:paraId="2850B727" w14:textId="77777777">
        <w:trPr>
          <w:trHeight w:val="255"/>
          <w:jc w:val="center"/>
        </w:trPr>
        <w:tc>
          <w:tcPr>
            <w:tcW w:w="2494"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26F2282C" w14:textId="77777777">
            <w:pPr>
              <w:spacing w:after="0"/>
              <w:rPr>
                <w:rFonts w:ascii="Calibri" w:hAnsi="Calibri" w:cs="Calibri"/>
              </w:rPr>
            </w:pPr>
            <w:r w:rsidRPr="00A34C43">
              <w:rPr>
                <w:rFonts w:ascii="Calibri" w:hAnsi="Calibri" w:eastAsia="Arial" w:cs="Calibri"/>
                <w:color w:val="000000" w:themeColor="text1"/>
                <w:sz w:val="20"/>
                <w:szCs w:val="20"/>
              </w:rPr>
              <w:t>Hospital transport</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32FBDB41" w14:textId="77777777">
            <w:pPr>
              <w:spacing w:after="0"/>
              <w:jc w:val="center"/>
              <w:rPr>
                <w:rFonts w:ascii="Calibri" w:hAnsi="Calibri" w:cs="Calibri"/>
              </w:rPr>
            </w:pPr>
            <w:r w:rsidRPr="00A34C43">
              <w:rPr>
                <w:rFonts w:ascii="Calibri" w:hAnsi="Calibri" w:eastAsia="Arial" w:cs="Calibri"/>
                <w:color w:val="000000" w:themeColor="text1"/>
                <w:sz w:val="20"/>
                <w:szCs w:val="20"/>
              </w:rPr>
              <w:t>266</w:t>
            </w:r>
          </w:p>
        </w:tc>
        <w:tc>
          <w:tcPr>
            <w:tcW w:w="2490"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Pr="00A34C43" w:rsidR="00567876" w:rsidP="009D1A27" w:rsidRDefault="00567876" w14:paraId="03171A18" w14:textId="77777777">
            <w:pPr>
              <w:spacing w:after="0"/>
              <w:jc w:val="center"/>
              <w:rPr>
                <w:rFonts w:ascii="Calibri" w:hAnsi="Calibri" w:cs="Calibri"/>
              </w:rPr>
            </w:pPr>
            <w:r w:rsidRPr="00A34C43">
              <w:rPr>
                <w:rFonts w:ascii="Calibri" w:hAnsi="Calibri" w:eastAsia="Arial" w:cs="Calibri"/>
                <w:color w:val="000000" w:themeColor="text1"/>
                <w:sz w:val="20"/>
                <w:szCs w:val="20"/>
              </w:rPr>
              <w:t>14.33</w:t>
            </w:r>
          </w:p>
        </w:tc>
      </w:tr>
      <w:tr w:rsidRPr="00A34C43" w:rsidR="00567876" w:rsidTr="00DA26D3" w14:paraId="65679B57" w14:textId="77777777">
        <w:trPr>
          <w:trHeight w:val="255"/>
          <w:jc w:val="center"/>
        </w:trPr>
        <w:tc>
          <w:tcPr>
            <w:tcW w:w="2494"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3B8F21FF" w14:textId="77777777">
            <w:pPr>
              <w:spacing w:after="0"/>
              <w:rPr>
                <w:rFonts w:ascii="Calibri" w:hAnsi="Calibri" w:cs="Calibri"/>
              </w:rPr>
            </w:pPr>
            <w:r w:rsidRPr="00A34C43">
              <w:rPr>
                <w:rFonts w:ascii="Calibri" w:hAnsi="Calibri" w:eastAsia="Arial" w:cs="Calibri"/>
                <w:color w:val="000000" w:themeColor="text1"/>
                <w:sz w:val="20"/>
                <w:szCs w:val="20"/>
              </w:rPr>
              <w:t>Total patients</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7D180169" w14:textId="77777777">
            <w:pPr>
              <w:spacing w:after="0"/>
              <w:jc w:val="center"/>
              <w:rPr>
                <w:rFonts w:ascii="Calibri" w:hAnsi="Calibri" w:cs="Calibri"/>
              </w:rPr>
            </w:pPr>
            <w:r w:rsidRPr="00A34C43">
              <w:rPr>
                <w:rFonts w:ascii="Calibri" w:hAnsi="Calibri" w:eastAsia="Arial" w:cs="Calibri"/>
                <w:color w:val="000000" w:themeColor="text1"/>
                <w:sz w:val="20"/>
                <w:szCs w:val="20"/>
              </w:rPr>
              <w:t>309</w:t>
            </w:r>
          </w:p>
        </w:tc>
        <w:tc>
          <w:tcPr>
            <w:tcW w:w="2490"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Pr="00A34C43" w:rsidR="00567876" w:rsidP="009D1A27" w:rsidRDefault="00567876" w14:paraId="1CFB07D1" w14:textId="77777777">
            <w:pPr>
              <w:spacing w:after="0"/>
              <w:jc w:val="center"/>
              <w:rPr>
                <w:rFonts w:ascii="Calibri" w:hAnsi="Calibri" w:cs="Calibri"/>
              </w:rPr>
            </w:pPr>
            <w:r w:rsidRPr="00A34C43">
              <w:rPr>
                <w:rFonts w:ascii="Calibri" w:hAnsi="Calibri" w:eastAsia="Arial" w:cs="Calibri"/>
                <w:color w:val="000000" w:themeColor="text1"/>
                <w:sz w:val="20"/>
                <w:szCs w:val="20"/>
              </w:rPr>
              <w:t xml:space="preserve"> </w:t>
            </w:r>
          </w:p>
        </w:tc>
      </w:tr>
      <w:tr w:rsidRPr="00A34C43" w:rsidR="00567876" w:rsidTr="00DA26D3" w14:paraId="451577A9" w14:textId="77777777">
        <w:trPr>
          <w:trHeight w:val="255"/>
          <w:jc w:val="center"/>
        </w:trPr>
        <w:tc>
          <w:tcPr>
            <w:tcW w:w="2494"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52BF3E35" w14:textId="11D54896">
            <w:pPr>
              <w:spacing w:after="0"/>
              <w:rPr>
                <w:rFonts w:ascii="Calibri" w:hAnsi="Calibri" w:cs="Calibri"/>
              </w:rPr>
            </w:pPr>
            <w:r w:rsidRPr="00A34C43">
              <w:rPr>
                <w:rFonts w:ascii="Calibri" w:hAnsi="Calibri" w:eastAsia="Arial" w:cs="Calibri"/>
                <w:color w:val="000000" w:themeColor="text1"/>
                <w:sz w:val="20"/>
                <w:szCs w:val="20"/>
              </w:rPr>
              <w:t>Average mil</w:t>
            </w:r>
            <w:r w:rsidRPr="00A34C43" w:rsidR="00A80157">
              <w:rPr>
                <w:rFonts w:ascii="Calibri" w:hAnsi="Calibri" w:eastAsia="Arial" w:cs="Calibri"/>
                <w:color w:val="000000" w:themeColor="text1"/>
                <w:sz w:val="20"/>
                <w:szCs w:val="20"/>
              </w:rPr>
              <w:t>e</w:t>
            </w:r>
            <w:r w:rsidRPr="00A34C43">
              <w:rPr>
                <w:rFonts w:ascii="Calibri" w:hAnsi="Calibri" w:eastAsia="Arial" w:cs="Calibri"/>
                <w:color w:val="000000" w:themeColor="text1"/>
                <w:sz w:val="20"/>
                <w:szCs w:val="20"/>
              </w:rPr>
              <w:t>age</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A34C43" w:rsidR="00567876" w:rsidP="009D1A27" w:rsidRDefault="00567876" w14:paraId="0DC25CC9" w14:textId="77777777">
            <w:pPr>
              <w:spacing w:after="0"/>
              <w:jc w:val="center"/>
              <w:rPr>
                <w:rFonts w:ascii="Calibri" w:hAnsi="Calibri" w:cs="Calibri"/>
              </w:rPr>
            </w:pPr>
            <w:r w:rsidRPr="00A34C43">
              <w:rPr>
                <w:rFonts w:ascii="Calibri" w:hAnsi="Calibri" w:eastAsia="Arial" w:cs="Calibri"/>
                <w:color w:val="000000" w:themeColor="text1"/>
                <w:sz w:val="20"/>
                <w:szCs w:val="20"/>
              </w:rPr>
              <w:t xml:space="preserve"> </w:t>
            </w:r>
          </w:p>
        </w:tc>
        <w:tc>
          <w:tcPr>
            <w:tcW w:w="2490"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Pr="00A34C43" w:rsidR="00567876" w:rsidP="009D1A27" w:rsidRDefault="00567876" w14:paraId="746E4336" w14:textId="77777777">
            <w:pPr>
              <w:spacing w:after="0"/>
              <w:jc w:val="center"/>
              <w:rPr>
                <w:rFonts w:ascii="Calibri" w:hAnsi="Calibri" w:cs="Calibri"/>
              </w:rPr>
            </w:pPr>
            <w:r w:rsidRPr="00A34C43">
              <w:rPr>
                <w:rFonts w:ascii="Calibri" w:hAnsi="Calibri" w:eastAsia="Arial" w:cs="Calibri"/>
                <w:color w:val="000000" w:themeColor="text1"/>
                <w:sz w:val="20"/>
                <w:szCs w:val="20"/>
              </w:rPr>
              <w:t>14.33</w:t>
            </w:r>
          </w:p>
        </w:tc>
      </w:tr>
      <w:tr w:rsidRPr="00A34C43" w:rsidR="00567876" w:rsidTr="00DA26D3" w14:paraId="2B19DBE4" w14:textId="77777777">
        <w:trPr>
          <w:trHeight w:val="270"/>
          <w:jc w:val="center"/>
        </w:trPr>
        <w:tc>
          <w:tcPr>
            <w:tcW w:w="2494"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bottom"/>
          </w:tcPr>
          <w:p w:rsidRPr="00A34C43" w:rsidR="00567876" w:rsidP="009D1A27" w:rsidRDefault="00567876" w14:paraId="639C70C6" w14:textId="77777777">
            <w:pPr>
              <w:spacing w:after="0"/>
              <w:rPr>
                <w:rFonts w:ascii="Calibri" w:hAnsi="Calibri" w:cs="Calibri"/>
              </w:rPr>
            </w:pPr>
            <w:r w:rsidRPr="00A34C43">
              <w:rPr>
                <w:rFonts w:ascii="Calibri" w:hAnsi="Calibri" w:eastAsia="Arial" w:cs="Calibri"/>
                <w:color w:val="000000" w:themeColor="text1"/>
                <w:sz w:val="20"/>
                <w:szCs w:val="20"/>
              </w:rPr>
              <w:t>Average in km</w:t>
            </w:r>
          </w:p>
        </w:tc>
        <w:tc>
          <w:tcPr>
            <w:tcW w:w="2225"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bottom"/>
          </w:tcPr>
          <w:p w:rsidRPr="00A34C43" w:rsidR="00567876" w:rsidP="009D1A27" w:rsidRDefault="00567876" w14:paraId="039F48BB" w14:textId="77777777">
            <w:pPr>
              <w:spacing w:after="0"/>
              <w:jc w:val="center"/>
              <w:rPr>
                <w:rFonts w:ascii="Calibri" w:hAnsi="Calibri" w:cs="Calibri"/>
              </w:rPr>
            </w:pPr>
            <w:r w:rsidRPr="00A34C43">
              <w:rPr>
                <w:rFonts w:ascii="Calibri" w:hAnsi="Calibri" w:eastAsia="Arial" w:cs="Calibri"/>
                <w:color w:val="000000" w:themeColor="text1"/>
                <w:sz w:val="20"/>
                <w:szCs w:val="20"/>
              </w:rPr>
              <w:t xml:space="preserve"> </w:t>
            </w:r>
          </w:p>
        </w:tc>
        <w:tc>
          <w:tcPr>
            <w:tcW w:w="2490"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bottom"/>
          </w:tcPr>
          <w:p w:rsidRPr="00A34C43" w:rsidR="00567876" w:rsidP="009D1A27" w:rsidRDefault="00567876" w14:paraId="10B5D786" w14:textId="77777777">
            <w:pPr>
              <w:spacing w:after="0"/>
              <w:jc w:val="center"/>
              <w:rPr>
                <w:rFonts w:ascii="Calibri" w:hAnsi="Calibri" w:cs="Calibri"/>
              </w:rPr>
            </w:pPr>
            <w:r w:rsidRPr="00A34C43">
              <w:rPr>
                <w:rFonts w:ascii="Calibri" w:hAnsi="Calibri" w:eastAsia="Arial" w:cs="Calibri"/>
                <w:color w:val="000000" w:themeColor="text1"/>
                <w:sz w:val="20"/>
                <w:szCs w:val="20"/>
              </w:rPr>
              <w:t>22.5</w:t>
            </w:r>
          </w:p>
        </w:tc>
      </w:tr>
    </w:tbl>
    <w:p w:rsidR="00500101" w:rsidP="00AB0CDB" w:rsidRDefault="00500101" w14:paraId="5E9B2EB1" w14:textId="5AEADE02">
      <w:pPr>
        <w:jc w:val="both"/>
        <w:rPr>
          <w:sz w:val="24"/>
          <w:szCs w:val="24"/>
        </w:rPr>
      </w:pPr>
    </w:p>
    <w:p w:rsidR="00FF03D3" w:rsidP="0027352D" w:rsidRDefault="00FF03D3" w14:paraId="316099DA" w14:textId="1614D677">
      <w:pPr>
        <w:ind w:left="360"/>
        <w:jc w:val="both"/>
        <w:rPr>
          <w:b/>
          <w:bCs/>
          <w:color w:val="538135" w:themeColor="accent6" w:themeShade="BF"/>
        </w:rPr>
      </w:pPr>
      <w:r>
        <w:t xml:space="preserve">The emission factor used to characterise the impact of taxi transport was sourced from </w:t>
      </w:r>
      <w:r w:rsidR="00A93D47">
        <w:t>the Government conversion factors for reporting of greenhouse gas emissions and</w:t>
      </w:r>
      <w:r>
        <w:t xml:space="preserve"> is inclusive of both fuel emissions and well-to-tank fuel production.</w:t>
      </w:r>
      <w:r w:rsidR="00390900">
        <w:t xml:space="preserve"> The annual emissions associated with patient travel equate</w:t>
      </w:r>
      <w:r w:rsidR="006217C1">
        <w:t>s</w:t>
      </w:r>
      <w:r w:rsidR="00390900">
        <w:t xml:space="preserve"> to </w:t>
      </w:r>
      <w:r w:rsidRPr="000A3C94" w:rsidR="00390900">
        <w:rPr>
          <w:b/>
          <w:bCs/>
          <w:color w:val="538135" w:themeColor="accent6" w:themeShade="BF"/>
        </w:rPr>
        <w:t>254,130</w:t>
      </w:r>
      <w:r w:rsidR="00837776">
        <w:rPr>
          <w:b/>
          <w:bCs/>
          <w:color w:val="538135" w:themeColor="accent6" w:themeShade="BF"/>
        </w:rPr>
        <w:t xml:space="preserve"> </w:t>
      </w:r>
      <w:r w:rsidRPr="000A3C94" w:rsidR="00837776">
        <w:rPr>
          <w:b/>
          <w:bCs/>
          <w:color w:val="538135" w:themeColor="accent6" w:themeShade="BF"/>
        </w:rPr>
        <w:t>kgCO</w:t>
      </w:r>
      <w:r w:rsidRPr="003B56FD" w:rsidR="00837776">
        <w:rPr>
          <w:b/>
          <w:bCs/>
          <w:color w:val="538135" w:themeColor="accent6" w:themeShade="BF"/>
          <w:vertAlign w:val="subscript"/>
        </w:rPr>
        <w:t>2</w:t>
      </w:r>
      <w:r w:rsidRPr="000A3C94" w:rsidR="00837776">
        <w:rPr>
          <w:b/>
          <w:bCs/>
          <w:color w:val="538135" w:themeColor="accent6" w:themeShade="BF"/>
        </w:rPr>
        <w:t>e.</w:t>
      </w:r>
    </w:p>
    <w:p w:rsidRPr="000E47D3" w:rsidR="00780E84" w:rsidP="00335DFE" w:rsidRDefault="00780E84" w14:paraId="15DC5E2D" w14:textId="7AD2067E">
      <w:pPr>
        <w:ind w:left="360"/>
        <w:jc w:val="both"/>
        <w:rPr>
          <w:sz w:val="24"/>
          <w:szCs w:val="24"/>
        </w:rPr>
      </w:pPr>
      <w:r w:rsidRPr="00335DFE">
        <w:t xml:space="preserve">The chart below shows that only 34% of patients travel to their appointment using their own car. 66% of patients are either transported by </w:t>
      </w:r>
      <w:r w:rsidR="00CF4092">
        <w:t>t</w:t>
      </w:r>
      <w:r w:rsidRPr="00335DFE">
        <w:t>axi or ambulance/ Medicar</w:t>
      </w:r>
      <w:r>
        <w:rPr>
          <w:sz w:val="24"/>
          <w:szCs w:val="24"/>
        </w:rPr>
        <w:t>.</w:t>
      </w:r>
    </w:p>
    <w:p w:rsidR="00780E84" w:rsidP="00780E84" w:rsidRDefault="00780E84" w14:paraId="42159DE5" w14:textId="77777777">
      <w:pPr>
        <w:pStyle w:val="ListParagraph"/>
        <w:ind w:left="1440"/>
        <w:rPr>
          <w:b/>
          <w:bCs/>
          <w:color w:val="538135" w:themeColor="accent6" w:themeShade="BF"/>
          <w:sz w:val="24"/>
          <w:szCs w:val="24"/>
        </w:rPr>
      </w:pPr>
    </w:p>
    <w:p w:rsidR="00780E84" w:rsidP="00780E84" w:rsidRDefault="00780E84" w14:paraId="525720D9" w14:textId="77777777">
      <w:pPr>
        <w:pStyle w:val="ListParagraph"/>
        <w:ind w:left="0"/>
        <w:jc w:val="center"/>
        <w:rPr>
          <w:b/>
          <w:bCs/>
          <w:color w:val="538135" w:themeColor="accent6" w:themeShade="BF"/>
          <w:sz w:val="24"/>
          <w:szCs w:val="24"/>
        </w:rPr>
      </w:pPr>
      <w:r>
        <w:rPr>
          <w:noProof/>
        </w:rPr>
        <w:lastRenderedPageBreak/>
        <w:drawing>
          <wp:inline distT="0" distB="0" distL="0" distR="0" wp14:anchorId="6751C5B0" wp14:editId="4719D51E">
            <wp:extent cx="4087505" cy="2163170"/>
            <wp:effectExtent l="0" t="0" r="8255" b="8890"/>
            <wp:docPr id="214245495" name="Chart 1">
              <a:extLst xmlns:a="http://schemas.openxmlformats.org/drawingml/2006/main">
                <a:ext uri="{FF2B5EF4-FFF2-40B4-BE49-F238E27FC236}">
                  <a16:creationId xmlns:a16="http://schemas.microsoft.com/office/drawing/2014/main" id="{B730E501-51F9-4ED3-B6A4-37476D384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0E84" w:rsidP="00780E84" w:rsidRDefault="00780E84" w14:paraId="739409AF" w14:textId="1A8301CE">
      <w:pPr>
        <w:ind w:left="284"/>
        <w:jc w:val="both"/>
        <w:rPr>
          <w:sz w:val="24"/>
          <w:szCs w:val="24"/>
        </w:rPr>
      </w:pPr>
      <w:r w:rsidRPr="00335DFE">
        <w:t xml:space="preserve">At this stage, for patients using their own transport it is unclear what type of vehicle is used, therefore emissions for an average car were used for the calculation. There is a significant proportion of patients who are using hospital </w:t>
      </w:r>
      <w:r w:rsidRPr="00335DFE" w:rsidR="006D0872">
        <w:t>transport. The</w:t>
      </w:r>
      <w:r w:rsidRPr="00335DFE">
        <w:t xml:space="preserve"> proportion of petrol/ diesel/ electric vehicles is unknown. Therefore, the recommendations made are to</w:t>
      </w:r>
      <w:r>
        <w:rPr>
          <w:sz w:val="24"/>
          <w:szCs w:val="24"/>
        </w:rPr>
        <w:t>:</w:t>
      </w:r>
    </w:p>
    <w:p w:rsidRPr="00335DFE" w:rsidR="00780E84" w:rsidP="00331271" w:rsidRDefault="00780E84" w14:paraId="11446B26" w14:textId="1BF15D87">
      <w:pPr>
        <w:pStyle w:val="ListParagraph"/>
        <w:numPr>
          <w:ilvl w:val="0"/>
          <w:numId w:val="34"/>
        </w:numPr>
        <w:ind w:left="1134"/>
        <w:jc w:val="both"/>
        <w:rPr>
          <w:b/>
          <w:bCs/>
          <w:color w:val="538135" w:themeColor="accent6" w:themeShade="BF"/>
        </w:rPr>
      </w:pPr>
      <w:r w:rsidRPr="00335DFE">
        <w:rPr>
          <w:b/>
          <w:bCs/>
          <w:color w:val="538135" w:themeColor="accent6" w:themeShade="BF"/>
        </w:rPr>
        <w:t>Undertake a deep d</w:t>
      </w:r>
      <w:r w:rsidR="0008619E">
        <w:rPr>
          <w:b/>
          <w:bCs/>
          <w:color w:val="538135" w:themeColor="accent6" w:themeShade="BF"/>
        </w:rPr>
        <w:t>ive</w:t>
      </w:r>
      <w:r w:rsidRPr="00335DFE">
        <w:rPr>
          <w:b/>
          <w:bCs/>
          <w:color w:val="538135" w:themeColor="accent6" w:themeShade="BF"/>
        </w:rPr>
        <w:t xml:space="preserve"> into the travel arrangements to gain a greater undertaking of the use of hospital transport and the type of vehicles that are being used.</w:t>
      </w:r>
    </w:p>
    <w:p w:rsidRPr="00433425" w:rsidR="00780E84" w:rsidP="00331271" w:rsidRDefault="5887DDA1" w14:paraId="08CF4BED" w14:textId="0CE66823">
      <w:pPr>
        <w:pStyle w:val="ListParagraph"/>
        <w:numPr>
          <w:ilvl w:val="0"/>
          <w:numId w:val="34"/>
        </w:numPr>
        <w:ind w:left="1134"/>
        <w:jc w:val="both"/>
        <w:rPr>
          <w:b/>
          <w:bCs/>
          <w:color w:val="538135" w:themeColor="accent6" w:themeShade="BF"/>
          <w:sz w:val="24"/>
          <w:szCs w:val="24"/>
        </w:rPr>
      </w:pPr>
      <w:r w:rsidRPr="0EEC9753">
        <w:rPr>
          <w:b/>
          <w:bCs/>
          <w:color w:val="538135" w:themeColor="accent6" w:themeShade="BF"/>
        </w:rPr>
        <w:t>Explore</w:t>
      </w:r>
      <w:r w:rsidRPr="0EEC9753" w:rsidR="00780E84">
        <w:rPr>
          <w:b/>
          <w:bCs/>
          <w:color w:val="538135" w:themeColor="accent6" w:themeShade="BF"/>
        </w:rPr>
        <w:t xml:space="preserve"> opportunit</w:t>
      </w:r>
      <w:r w:rsidRPr="0EEC9753" w:rsidR="00F70942">
        <w:rPr>
          <w:b/>
          <w:bCs/>
          <w:color w:val="538135" w:themeColor="accent6" w:themeShade="BF"/>
        </w:rPr>
        <w:t>ies</w:t>
      </w:r>
      <w:r w:rsidRPr="00335DFE" w:rsidR="00780E84">
        <w:rPr>
          <w:b/>
          <w:bCs/>
          <w:color w:val="538135" w:themeColor="accent6" w:themeShade="BF"/>
        </w:rPr>
        <w:t xml:space="preserve"> to move patient treatment closer to home, thereby reducing “care miles” associated with Haemodialysis</w:t>
      </w:r>
      <w:r w:rsidR="00780E84">
        <w:rPr>
          <w:b/>
          <w:bCs/>
          <w:color w:val="538135" w:themeColor="accent6" w:themeShade="BF"/>
          <w:sz w:val="24"/>
          <w:szCs w:val="24"/>
        </w:rPr>
        <w:t>.</w:t>
      </w:r>
    </w:p>
    <w:p w:rsidRPr="00335DFE" w:rsidR="00780E84" w:rsidP="00780E84" w:rsidRDefault="00780E84" w14:paraId="13A082A4" w14:textId="0773CC75">
      <w:pPr>
        <w:ind w:left="284"/>
        <w:jc w:val="both"/>
      </w:pPr>
      <w:r w:rsidRPr="00335DFE">
        <w:t>During discussions with the team there was concern over the “</w:t>
      </w:r>
      <w:r w:rsidR="0052433E">
        <w:t>D</w:t>
      </w:r>
      <w:r w:rsidRPr="00335DFE">
        <w:t xml:space="preserve">id </w:t>
      </w:r>
      <w:r w:rsidR="00C96713">
        <w:t>N</w:t>
      </w:r>
      <w:r w:rsidRPr="00335DFE">
        <w:t xml:space="preserve">ot </w:t>
      </w:r>
      <w:r w:rsidR="00C96713">
        <w:t>A</w:t>
      </w:r>
      <w:r w:rsidRPr="00335DFE">
        <w:t>ttend (DNA)” rates and it was felt that this was something to be reviewed to reduce the waste of resources. The recommendation was made to:</w:t>
      </w:r>
    </w:p>
    <w:p w:rsidRPr="00331271" w:rsidR="00780E84" w:rsidP="00331271" w:rsidRDefault="00780E84" w14:paraId="4A2265EB" w14:textId="00774613">
      <w:pPr>
        <w:pStyle w:val="ListParagraph"/>
        <w:numPr>
          <w:ilvl w:val="0"/>
          <w:numId w:val="36"/>
        </w:numPr>
        <w:jc w:val="both"/>
        <w:rPr>
          <w:sz w:val="24"/>
          <w:szCs w:val="24"/>
        </w:rPr>
      </w:pPr>
      <w:r w:rsidRPr="00331271">
        <w:rPr>
          <w:b/>
          <w:bCs/>
          <w:color w:val="538135" w:themeColor="accent6" w:themeShade="BF"/>
        </w:rPr>
        <w:t>Review the current DNA rates and gain</w:t>
      </w:r>
      <w:r w:rsidR="003F6E0A">
        <w:rPr>
          <w:b/>
          <w:bCs/>
          <w:color w:val="538135" w:themeColor="accent6" w:themeShade="BF"/>
        </w:rPr>
        <w:t xml:space="preserve"> an</w:t>
      </w:r>
      <w:r w:rsidRPr="00331271">
        <w:rPr>
          <w:b/>
          <w:bCs/>
          <w:color w:val="538135" w:themeColor="accent6" w:themeShade="BF"/>
        </w:rPr>
        <w:t xml:space="preserve"> understanding </w:t>
      </w:r>
      <w:r w:rsidR="003F6E0A">
        <w:rPr>
          <w:b/>
          <w:bCs/>
          <w:color w:val="538135" w:themeColor="accent6" w:themeShade="BF"/>
        </w:rPr>
        <w:t xml:space="preserve">of </w:t>
      </w:r>
      <w:r w:rsidRPr="00331271">
        <w:rPr>
          <w:b/>
          <w:bCs/>
          <w:color w:val="538135" w:themeColor="accent6" w:themeShade="BF"/>
        </w:rPr>
        <w:t>the reasons. Reduc</w:t>
      </w:r>
      <w:r w:rsidR="00773FED">
        <w:rPr>
          <w:b/>
          <w:bCs/>
          <w:color w:val="538135" w:themeColor="accent6" w:themeShade="BF"/>
        </w:rPr>
        <w:t>ing</w:t>
      </w:r>
      <w:r w:rsidRPr="00331271">
        <w:rPr>
          <w:b/>
          <w:bCs/>
          <w:color w:val="538135" w:themeColor="accent6" w:themeShade="BF"/>
        </w:rPr>
        <w:t xml:space="preserve"> the DNA rate will improve the use of resources and avoid waste</w:t>
      </w:r>
      <w:r w:rsidR="0052433E">
        <w:rPr>
          <w:b/>
          <w:bCs/>
          <w:color w:val="538135" w:themeColor="accent6" w:themeShade="BF"/>
        </w:rPr>
        <w:t>.</w:t>
      </w:r>
    </w:p>
    <w:p w:rsidRPr="00331271" w:rsidR="00331271" w:rsidP="00331271" w:rsidRDefault="00331271" w14:paraId="42E259BF" w14:textId="77777777">
      <w:pPr>
        <w:pStyle w:val="ListParagraph"/>
        <w:ind w:left="1080"/>
        <w:jc w:val="both"/>
        <w:rPr>
          <w:sz w:val="24"/>
          <w:szCs w:val="24"/>
        </w:rPr>
      </w:pPr>
    </w:p>
    <w:p w:rsidRPr="003F7FA5" w:rsidR="00D57E2A" w:rsidP="002B20E9" w:rsidRDefault="00D57E2A" w14:paraId="0FBB4ED8" w14:textId="3C39AC64">
      <w:pPr>
        <w:pStyle w:val="ListParagraph"/>
        <w:numPr>
          <w:ilvl w:val="1"/>
          <w:numId w:val="30"/>
        </w:numPr>
        <w:rPr>
          <w:rFonts w:cstheme="minorHAnsi"/>
          <w:b/>
          <w:color w:val="538135" w:themeColor="accent6" w:themeShade="BF"/>
        </w:rPr>
      </w:pPr>
      <w:r w:rsidRPr="003F7FA5">
        <w:rPr>
          <w:b/>
          <w:bCs/>
          <w:color w:val="538135" w:themeColor="accent6" w:themeShade="BF"/>
        </w:rPr>
        <w:t>Staff travel</w:t>
      </w:r>
    </w:p>
    <w:p w:rsidRPr="003F7FA5" w:rsidR="00585FF7" w:rsidP="0027352D" w:rsidRDefault="00BA1C0D" w14:paraId="2D3010A0" w14:textId="5860937B">
      <w:pPr>
        <w:ind w:left="360"/>
        <w:jc w:val="both"/>
      </w:pPr>
      <w:r w:rsidRPr="003F7FA5">
        <w:t xml:space="preserve">Primary data was collected via the recent staff travel survey </w:t>
      </w:r>
      <w:r w:rsidRPr="003F7FA5" w:rsidR="004037E6">
        <w:t>(April</w:t>
      </w:r>
      <w:r w:rsidRPr="003F7FA5">
        <w:t xml:space="preserve"> 2024)</w:t>
      </w:r>
      <w:r w:rsidRPr="003F7FA5" w:rsidR="004037E6">
        <w:t xml:space="preserve">. The data for South Yorkshire Regional </w:t>
      </w:r>
      <w:r w:rsidRPr="003F7FA5" w:rsidR="006B75C4">
        <w:t>S</w:t>
      </w:r>
      <w:r w:rsidRPr="003F7FA5" w:rsidR="004037E6">
        <w:t xml:space="preserve">ervices </w:t>
      </w:r>
      <w:r w:rsidRPr="003F7FA5" w:rsidR="002057DB">
        <w:t>(SYRS</w:t>
      </w:r>
      <w:r w:rsidRPr="003F7FA5" w:rsidR="004037E6">
        <w:t>) was extracte</w:t>
      </w:r>
      <w:r w:rsidRPr="003F7FA5" w:rsidR="00C05F2F">
        <w:t>d and use</w:t>
      </w:r>
      <w:r w:rsidRPr="003F7FA5" w:rsidR="000B34A2">
        <w:t>d</w:t>
      </w:r>
      <w:r w:rsidRPr="003F7FA5" w:rsidR="00C05F2F">
        <w:t xml:space="preserve"> f</w:t>
      </w:r>
      <w:r w:rsidRPr="003F7FA5" w:rsidR="000B34A2">
        <w:t>or this calculation</w:t>
      </w:r>
      <w:r w:rsidRPr="003F7FA5" w:rsidR="00585FF7">
        <w:t xml:space="preserve"> as specific data for staff on the renal unit would only have be</w:t>
      </w:r>
      <w:r w:rsidRPr="003F7FA5" w:rsidR="00FE5B85">
        <w:t>en</w:t>
      </w:r>
      <w:r w:rsidRPr="003F7FA5" w:rsidR="00585FF7">
        <w:t xml:space="preserve"> possible with an additional staff survey</w:t>
      </w:r>
      <w:r w:rsidRPr="003F7FA5" w:rsidR="00143449">
        <w:t xml:space="preserve"> and th</w:t>
      </w:r>
      <w:r w:rsidRPr="003F7FA5" w:rsidR="005B2B92">
        <w:t>is</w:t>
      </w:r>
      <w:r w:rsidRPr="003F7FA5" w:rsidR="00143449">
        <w:t xml:space="preserve"> </w:t>
      </w:r>
      <w:r w:rsidRPr="003F7FA5" w:rsidR="00A770AD">
        <w:t>survey</w:t>
      </w:r>
      <w:r w:rsidRPr="003F7FA5" w:rsidR="003011FE">
        <w:t xml:space="preserve"> was felt </w:t>
      </w:r>
      <w:r w:rsidRPr="003F7FA5" w:rsidR="005B2B92">
        <w:t xml:space="preserve">to be </w:t>
      </w:r>
      <w:r w:rsidRPr="003F7FA5" w:rsidR="003011FE">
        <w:t>representative</w:t>
      </w:r>
      <w:r w:rsidRPr="003F7FA5" w:rsidR="008E4613">
        <w:t>.</w:t>
      </w:r>
    </w:p>
    <w:p w:rsidRPr="003F7FA5" w:rsidR="00EA3326" w:rsidP="0027352D" w:rsidRDefault="005B3B78" w14:paraId="1C11BBC2" w14:textId="273F0555">
      <w:pPr>
        <w:ind w:left="360"/>
        <w:jc w:val="both"/>
      </w:pPr>
      <w:r w:rsidRPr="003F7FA5">
        <w:t>The SYRS data</w:t>
      </w:r>
      <w:r w:rsidRPr="003F7FA5" w:rsidR="009101FC">
        <w:t xml:space="preserve"> </w:t>
      </w:r>
      <w:r w:rsidRPr="003F7FA5" w:rsidR="000362B0">
        <w:t>included 49 participants.</w:t>
      </w:r>
      <w:r w:rsidRPr="003F7FA5" w:rsidR="000D2719">
        <w:t xml:space="preserve"> The table below demonstrate</w:t>
      </w:r>
      <w:r w:rsidRPr="003F7FA5" w:rsidR="00623637">
        <w:t>s</w:t>
      </w:r>
      <w:r w:rsidRPr="003F7FA5" w:rsidR="000D2719">
        <w:t xml:space="preserve"> the modes of transport. The average mileage was calculated </w:t>
      </w:r>
      <w:r w:rsidRPr="003F7FA5" w:rsidR="000362B0">
        <w:t>at 14.5 for a round trip.</w:t>
      </w:r>
      <w:r w:rsidRPr="003F7FA5" w:rsidR="000A3C94">
        <w:t xml:space="preserve"> </w:t>
      </w:r>
    </w:p>
    <w:p w:rsidR="004037E6" w:rsidP="56D6C4DB" w:rsidRDefault="004037E6" w14:paraId="7DDC593E" w14:textId="77777777">
      <w:pPr>
        <w:ind w:left="360"/>
        <w:rPr>
          <w:sz w:val="24"/>
          <w:szCs w:val="24"/>
        </w:rPr>
      </w:pPr>
    </w:p>
    <w:tbl>
      <w:tblPr>
        <w:tblW w:w="0" w:type="auto"/>
        <w:jc w:val="center"/>
        <w:tblLayout w:type="fixed"/>
        <w:tblLook w:val="06A0" w:firstRow="1" w:lastRow="0" w:firstColumn="1" w:lastColumn="0" w:noHBand="1" w:noVBand="1"/>
      </w:tblPr>
      <w:tblGrid>
        <w:gridCol w:w="2490"/>
        <w:gridCol w:w="2178"/>
        <w:gridCol w:w="2178"/>
      </w:tblGrid>
      <w:tr w:rsidRPr="009101B9" w:rsidR="00E05AEE" w:rsidTr="00FD0F85" w14:paraId="27920C44" w14:textId="5D9EDD25">
        <w:trPr>
          <w:trHeight w:val="300"/>
          <w:jc w:val="center"/>
        </w:trPr>
        <w:tc>
          <w:tcPr>
            <w:tcW w:w="2490" w:type="dxa"/>
            <w:tcBorders>
              <w:top w:val="single" w:color="auto" w:sz="8" w:space="0"/>
              <w:left w:val="single" w:color="auto" w:sz="8" w:space="0"/>
              <w:bottom w:val="single" w:color="auto" w:sz="4" w:space="0"/>
              <w:right w:val="single" w:color="auto" w:sz="4" w:space="0"/>
            </w:tcBorders>
            <w:shd w:val="clear" w:color="auto" w:fill="002060"/>
            <w:tcMar>
              <w:top w:w="15" w:type="dxa"/>
              <w:left w:w="15" w:type="dxa"/>
              <w:right w:w="15" w:type="dxa"/>
            </w:tcMar>
            <w:vAlign w:val="bottom"/>
          </w:tcPr>
          <w:p w:rsidRPr="009101B9" w:rsidR="00E05AEE" w:rsidP="009D1A27" w:rsidRDefault="00E05AEE" w14:paraId="75EBD8A8" w14:textId="77777777">
            <w:pPr>
              <w:spacing w:after="0"/>
              <w:jc w:val="center"/>
              <w:rPr>
                <w:rFonts w:cstheme="minorHAnsi"/>
              </w:rPr>
            </w:pPr>
            <w:r w:rsidRPr="009101B9">
              <w:rPr>
                <w:rFonts w:eastAsia="Aptos Narrow" w:cstheme="minorHAnsi"/>
                <w:b/>
                <w:bCs/>
                <w:color w:val="FFFFFF" w:themeColor="background1"/>
              </w:rPr>
              <w:t>Staff Travel Method</w:t>
            </w:r>
          </w:p>
        </w:tc>
        <w:tc>
          <w:tcPr>
            <w:tcW w:w="2178" w:type="dxa"/>
            <w:tcBorders>
              <w:top w:val="single" w:color="auto" w:sz="8" w:space="0"/>
              <w:left w:val="single" w:color="auto" w:sz="4" w:space="0"/>
              <w:bottom w:val="single" w:color="auto" w:sz="4" w:space="0"/>
              <w:right w:val="single" w:color="auto" w:sz="4" w:space="0"/>
            </w:tcBorders>
            <w:shd w:val="clear" w:color="auto" w:fill="002060"/>
            <w:tcMar>
              <w:top w:w="15" w:type="dxa"/>
              <w:left w:w="15" w:type="dxa"/>
              <w:right w:w="15" w:type="dxa"/>
            </w:tcMar>
            <w:vAlign w:val="bottom"/>
          </w:tcPr>
          <w:p w:rsidRPr="009101B9" w:rsidR="00E05AEE" w:rsidP="009D1A27" w:rsidRDefault="00E05AEE" w14:paraId="73E39280" w14:textId="77777777">
            <w:pPr>
              <w:spacing w:after="0"/>
              <w:jc w:val="center"/>
              <w:rPr>
                <w:rFonts w:cstheme="minorHAnsi"/>
              </w:rPr>
            </w:pPr>
            <w:r w:rsidRPr="009101B9">
              <w:rPr>
                <w:rFonts w:eastAsia="Aptos Narrow" w:cstheme="minorHAnsi"/>
                <w:b/>
                <w:bCs/>
                <w:color w:val="FFFFFF" w:themeColor="background1"/>
              </w:rPr>
              <w:t>Number of staff</w:t>
            </w:r>
          </w:p>
        </w:tc>
        <w:tc>
          <w:tcPr>
            <w:tcW w:w="2178" w:type="dxa"/>
            <w:tcBorders>
              <w:top w:val="single" w:color="auto" w:sz="8" w:space="0"/>
              <w:left w:val="single" w:color="auto" w:sz="4" w:space="0"/>
              <w:bottom w:val="single" w:color="auto" w:sz="4" w:space="0"/>
              <w:right w:val="single" w:color="auto" w:sz="4" w:space="0"/>
            </w:tcBorders>
            <w:shd w:val="clear" w:color="auto" w:fill="002060"/>
          </w:tcPr>
          <w:p w:rsidRPr="009101B9" w:rsidR="00E05AEE" w:rsidP="009D1A27" w:rsidRDefault="00E05AEE" w14:paraId="3296B540" w14:textId="77777777">
            <w:pPr>
              <w:spacing w:after="0"/>
              <w:jc w:val="center"/>
              <w:rPr>
                <w:rFonts w:eastAsia="Aptos Narrow" w:cstheme="minorHAnsi"/>
                <w:b/>
                <w:bCs/>
                <w:color w:val="FFFFFF" w:themeColor="background1"/>
              </w:rPr>
            </w:pPr>
          </w:p>
        </w:tc>
      </w:tr>
      <w:tr w:rsidRPr="009101B9" w:rsidR="00E05AEE" w:rsidTr="00FD0F85" w14:paraId="3B8AAEF8" w14:textId="435805DD">
        <w:trPr>
          <w:trHeight w:val="300"/>
          <w:jc w:val="center"/>
        </w:trPr>
        <w:tc>
          <w:tcPr>
            <w:tcW w:w="2490"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9101B9" w:rsidR="00E05AEE" w:rsidP="009D1A27" w:rsidRDefault="00E05AEE" w14:paraId="28ED4CEB" w14:textId="77777777">
            <w:pPr>
              <w:spacing w:after="0"/>
              <w:rPr>
                <w:rFonts w:cstheme="minorHAnsi"/>
              </w:rPr>
            </w:pPr>
            <w:r w:rsidRPr="009101B9">
              <w:rPr>
                <w:rFonts w:eastAsia="Aptos Narrow" w:cstheme="minorHAnsi"/>
                <w:color w:val="000000" w:themeColor="text1"/>
              </w:rPr>
              <w:t>Bus</w:t>
            </w:r>
          </w:p>
        </w:tc>
        <w:tc>
          <w:tcPr>
            <w:tcW w:w="2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9101B9" w:rsidR="00E05AEE" w:rsidP="009D1A27" w:rsidRDefault="00E05AEE" w14:paraId="32ACA066" w14:textId="3F1970B4">
            <w:pPr>
              <w:spacing w:after="0"/>
              <w:jc w:val="center"/>
              <w:rPr>
                <w:rFonts w:cstheme="minorHAnsi"/>
              </w:rPr>
            </w:pPr>
            <w:r w:rsidRPr="009101B9">
              <w:rPr>
                <w:rFonts w:eastAsia="Aptos Narrow" w:cstheme="minorHAnsi"/>
                <w:color w:val="000000" w:themeColor="text1"/>
              </w:rPr>
              <w:t>7</w:t>
            </w:r>
          </w:p>
        </w:tc>
        <w:tc>
          <w:tcPr>
            <w:tcW w:w="2178" w:type="dxa"/>
            <w:tcBorders>
              <w:top w:val="single" w:color="auto" w:sz="4" w:space="0"/>
              <w:left w:val="single" w:color="auto" w:sz="4" w:space="0"/>
              <w:bottom w:val="single" w:color="auto" w:sz="4" w:space="0"/>
              <w:right w:val="single" w:color="auto" w:sz="4" w:space="0"/>
            </w:tcBorders>
          </w:tcPr>
          <w:p w:rsidRPr="009101B9" w:rsidR="00E05AEE" w:rsidP="009D1A27" w:rsidRDefault="00B866B7" w14:paraId="22E5CCCC" w14:textId="7F7E1FCC">
            <w:pPr>
              <w:spacing w:after="0"/>
              <w:jc w:val="center"/>
              <w:rPr>
                <w:rFonts w:eastAsia="Aptos Narrow" w:cstheme="minorHAnsi"/>
                <w:color w:val="000000" w:themeColor="text1"/>
              </w:rPr>
            </w:pPr>
            <w:r>
              <w:rPr>
                <w:rFonts w:eastAsia="Aptos Narrow" w:cstheme="minorHAnsi"/>
                <w:color w:val="000000" w:themeColor="text1"/>
              </w:rPr>
              <w:t>14%</w:t>
            </w:r>
          </w:p>
        </w:tc>
      </w:tr>
      <w:tr w:rsidRPr="009101B9" w:rsidR="00E05AEE" w:rsidTr="00FD0F85" w14:paraId="399D781C" w14:textId="70C68328">
        <w:trPr>
          <w:trHeight w:val="300"/>
          <w:jc w:val="center"/>
        </w:trPr>
        <w:tc>
          <w:tcPr>
            <w:tcW w:w="2490"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9101B9" w:rsidR="00E05AEE" w:rsidP="009D1A27" w:rsidRDefault="00E05AEE" w14:paraId="52673AFB" w14:textId="77777777">
            <w:pPr>
              <w:spacing w:after="0"/>
              <w:rPr>
                <w:rFonts w:cstheme="minorHAnsi"/>
              </w:rPr>
            </w:pPr>
            <w:r w:rsidRPr="009101B9">
              <w:rPr>
                <w:rFonts w:eastAsia="Aptos Narrow" w:cstheme="minorHAnsi"/>
                <w:color w:val="000000" w:themeColor="text1"/>
              </w:rPr>
              <w:t xml:space="preserve">Car/van </w:t>
            </w:r>
          </w:p>
        </w:tc>
        <w:tc>
          <w:tcPr>
            <w:tcW w:w="2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9101B9" w:rsidR="00E05AEE" w:rsidP="009D1A27" w:rsidRDefault="00E05AEE" w14:paraId="5D4E95AF" w14:textId="77777777">
            <w:pPr>
              <w:spacing w:after="0"/>
              <w:jc w:val="center"/>
              <w:rPr>
                <w:rFonts w:cstheme="minorHAnsi"/>
              </w:rPr>
            </w:pPr>
            <w:r w:rsidRPr="009101B9">
              <w:rPr>
                <w:rFonts w:eastAsia="Aptos Narrow" w:cstheme="minorHAnsi"/>
                <w:color w:val="000000" w:themeColor="text1"/>
              </w:rPr>
              <w:t>33</w:t>
            </w:r>
          </w:p>
        </w:tc>
        <w:tc>
          <w:tcPr>
            <w:tcW w:w="2178" w:type="dxa"/>
            <w:tcBorders>
              <w:top w:val="single" w:color="auto" w:sz="4" w:space="0"/>
              <w:left w:val="single" w:color="auto" w:sz="4" w:space="0"/>
              <w:bottom w:val="single" w:color="auto" w:sz="4" w:space="0"/>
              <w:right w:val="single" w:color="auto" w:sz="4" w:space="0"/>
            </w:tcBorders>
          </w:tcPr>
          <w:p w:rsidRPr="009101B9" w:rsidR="00E05AEE" w:rsidP="009D1A27" w:rsidRDefault="00B866B7" w14:paraId="0AA29AE8" w14:textId="3833B123">
            <w:pPr>
              <w:spacing w:after="0"/>
              <w:jc w:val="center"/>
              <w:rPr>
                <w:rFonts w:eastAsia="Aptos Narrow" w:cstheme="minorHAnsi"/>
                <w:color w:val="000000" w:themeColor="text1"/>
              </w:rPr>
            </w:pPr>
            <w:r>
              <w:rPr>
                <w:rFonts w:eastAsia="Aptos Narrow" w:cstheme="minorHAnsi"/>
                <w:color w:val="000000" w:themeColor="text1"/>
              </w:rPr>
              <w:t>67%</w:t>
            </w:r>
          </w:p>
        </w:tc>
      </w:tr>
      <w:tr w:rsidRPr="009101B9" w:rsidR="00E05AEE" w:rsidTr="00FD0F85" w14:paraId="50A42402" w14:textId="2DDAA644">
        <w:trPr>
          <w:trHeight w:val="300"/>
          <w:jc w:val="center"/>
        </w:trPr>
        <w:tc>
          <w:tcPr>
            <w:tcW w:w="2490"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9101B9" w:rsidR="00E05AEE" w:rsidP="009D1A27" w:rsidRDefault="00E05AEE" w14:paraId="69158AFC" w14:textId="77777777">
            <w:pPr>
              <w:spacing w:after="0"/>
              <w:rPr>
                <w:rFonts w:cstheme="minorHAnsi"/>
              </w:rPr>
            </w:pPr>
            <w:r w:rsidRPr="009101B9">
              <w:rPr>
                <w:rFonts w:eastAsia="Aptos Narrow" w:cstheme="minorHAnsi"/>
                <w:color w:val="000000" w:themeColor="text1"/>
              </w:rPr>
              <w:t>Cycle</w:t>
            </w:r>
          </w:p>
        </w:tc>
        <w:tc>
          <w:tcPr>
            <w:tcW w:w="2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9101B9" w:rsidR="00E05AEE" w:rsidP="009D1A27" w:rsidRDefault="00E05AEE" w14:paraId="7A81C3F4" w14:textId="77777777">
            <w:pPr>
              <w:spacing w:after="0"/>
              <w:jc w:val="center"/>
              <w:rPr>
                <w:rFonts w:cstheme="minorHAnsi"/>
              </w:rPr>
            </w:pPr>
            <w:r w:rsidRPr="009101B9">
              <w:rPr>
                <w:rFonts w:eastAsia="Aptos Narrow" w:cstheme="minorHAnsi"/>
                <w:color w:val="000000" w:themeColor="text1"/>
              </w:rPr>
              <w:t>2</w:t>
            </w:r>
          </w:p>
        </w:tc>
        <w:tc>
          <w:tcPr>
            <w:tcW w:w="2178" w:type="dxa"/>
            <w:tcBorders>
              <w:top w:val="single" w:color="auto" w:sz="4" w:space="0"/>
              <w:left w:val="single" w:color="auto" w:sz="4" w:space="0"/>
              <w:bottom w:val="single" w:color="auto" w:sz="4" w:space="0"/>
              <w:right w:val="single" w:color="auto" w:sz="4" w:space="0"/>
            </w:tcBorders>
          </w:tcPr>
          <w:p w:rsidRPr="009101B9" w:rsidR="00E05AEE" w:rsidP="009D1A27" w:rsidRDefault="000A0F9A" w14:paraId="38293DA5" w14:textId="7C3A0049">
            <w:pPr>
              <w:spacing w:after="0"/>
              <w:jc w:val="center"/>
              <w:rPr>
                <w:rFonts w:eastAsia="Aptos Narrow" w:cstheme="minorHAnsi"/>
                <w:color w:val="000000" w:themeColor="text1"/>
              </w:rPr>
            </w:pPr>
            <w:r>
              <w:rPr>
                <w:rFonts w:eastAsia="Aptos Narrow" w:cstheme="minorHAnsi"/>
                <w:color w:val="000000" w:themeColor="text1"/>
              </w:rPr>
              <w:t>4%</w:t>
            </w:r>
          </w:p>
        </w:tc>
      </w:tr>
      <w:tr w:rsidRPr="009101B9" w:rsidR="00E05AEE" w:rsidTr="00FD0F85" w14:paraId="3B00C9B4" w14:textId="1AB51586">
        <w:trPr>
          <w:trHeight w:val="300"/>
          <w:jc w:val="center"/>
        </w:trPr>
        <w:tc>
          <w:tcPr>
            <w:tcW w:w="2490"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9101B9" w:rsidR="00E05AEE" w:rsidP="009D1A27" w:rsidRDefault="00E05AEE" w14:paraId="44064CC6" w14:textId="77777777">
            <w:pPr>
              <w:spacing w:after="0"/>
              <w:rPr>
                <w:rFonts w:cstheme="minorHAnsi"/>
              </w:rPr>
            </w:pPr>
            <w:r w:rsidRPr="009101B9">
              <w:rPr>
                <w:rFonts w:eastAsia="Aptos Narrow" w:cstheme="minorHAnsi"/>
                <w:color w:val="000000" w:themeColor="text1"/>
              </w:rPr>
              <w:t>Motorcycle</w:t>
            </w:r>
          </w:p>
        </w:tc>
        <w:tc>
          <w:tcPr>
            <w:tcW w:w="2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9101B9" w:rsidR="00E05AEE" w:rsidP="009D1A27" w:rsidRDefault="00E05AEE" w14:paraId="40BC1EEC" w14:textId="77777777">
            <w:pPr>
              <w:spacing w:after="0"/>
              <w:jc w:val="center"/>
              <w:rPr>
                <w:rFonts w:cstheme="minorHAnsi"/>
              </w:rPr>
            </w:pPr>
            <w:r w:rsidRPr="009101B9">
              <w:rPr>
                <w:rFonts w:eastAsia="Aptos Narrow" w:cstheme="minorHAnsi"/>
                <w:color w:val="000000" w:themeColor="text1"/>
              </w:rPr>
              <w:t>1</w:t>
            </w:r>
          </w:p>
        </w:tc>
        <w:tc>
          <w:tcPr>
            <w:tcW w:w="2178" w:type="dxa"/>
            <w:tcBorders>
              <w:top w:val="single" w:color="auto" w:sz="4" w:space="0"/>
              <w:left w:val="single" w:color="auto" w:sz="4" w:space="0"/>
              <w:bottom w:val="single" w:color="auto" w:sz="4" w:space="0"/>
              <w:right w:val="single" w:color="auto" w:sz="4" w:space="0"/>
            </w:tcBorders>
          </w:tcPr>
          <w:p w:rsidRPr="009101B9" w:rsidR="00E05AEE" w:rsidP="009D1A27" w:rsidRDefault="000A0F9A" w14:paraId="30077FB6" w14:textId="5CC3E251">
            <w:pPr>
              <w:spacing w:after="0"/>
              <w:jc w:val="center"/>
              <w:rPr>
                <w:rFonts w:eastAsia="Aptos Narrow" w:cstheme="minorHAnsi"/>
                <w:color w:val="000000" w:themeColor="text1"/>
              </w:rPr>
            </w:pPr>
            <w:r>
              <w:rPr>
                <w:rFonts w:eastAsia="Aptos Narrow" w:cstheme="minorHAnsi"/>
                <w:color w:val="000000" w:themeColor="text1"/>
              </w:rPr>
              <w:t>2%</w:t>
            </w:r>
          </w:p>
        </w:tc>
      </w:tr>
      <w:tr w:rsidRPr="009101B9" w:rsidR="00E05AEE" w:rsidTr="00FD0F85" w14:paraId="1BE6DE9E" w14:textId="7D2BD669">
        <w:trPr>
          <w:trHeight w:val="300"/>
          <w:jc w:val="center"/>
        </w:trPr>
        <w:tc>
          <w:tcPr>
            <w:tcW w:w="2490"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Pr="009101B9" w:rsidR="00E05AEE" w:rsidP="009D1A27" w:rsidRDefault="00E05AEE" w14:paraId="2846E4BF" w14:textId="77777777">
            <w:pPr>
              <w:spacing w:after="0"/>
              <w:rPr>
                <w:rFonts w:cstheme="minorHAnsi"/>
              </w:rPr>
            </w:pPr>
            <w:r w:rsidRPr="009101B9">
              <w:rPr>
                <w:rFonts w:eastAsia="Aptos Narrow" w:cstheme="minorHAnsi"/>
                <w:color w:val="000000" w:themeColor="text1"/>
              </w:rPr>
              <w:t>Walk (or wheel)</w:t>
            </w:r>
          </w:p>
        </w:tc>
        <w:tc>
          <w:tcPr>
            <w:tcW w:w="2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9101B9" w:rsidR="00E05AEE" w:rsidP="009D1A27" w:rsidRDefault="00E05AEE" w14:paraId="42C22B82" w14:textId="77777777">
            <w:pPr>
              <w:spacing w:after="0"/>
              <w:jc w:val="center"/>
              <w:rPr>
                <w:rFonts w:cstheme="minorHAnsi"/>
              </w:rPr>
            </w:pPr>
            <w:r w:rsidRPr="009101B9">
              <w:rPr>
                <w:rFonts w:eastAsia="Aptos Narrow" w:cstheme="minorHAnsi"/>
                <w:color w:val="000000" w:themeColor="text1"/>
              </w:rPr>
              <w:t>6</w:t>
            </w:r>
          </w:p>
        </w:tc>
        <w:tc>
          <w:tcPr>
            <w:tcW w:w="2178" w:type="dxa"/>
            <w:tcBorders>
              <w:top w:val="single" w:color="auto" w:sz="4" w:space="0"/>
              <w:left w:val="single" w:color="auto" w:sz="4" w:space="0"/>
              <w:bottom w:val="single" w:color="auto" w:sz="4" w:space="0"/>
              <w:right w:val="single" w:color="auto" w:sz="4" w:space="0"/>
            </w:tcBorders>
          </w:tcPr>
          <w:p w:rsidRPr="009101B9" w:rsidR="00E05AEE" w:rsidP="009D1A27" w:rsidRDefault="000A0F9A" w14:paraId="15CD7A6D" w14:textId="407A5EDF">
            <w:pPr>
              <w:spacing w:after="0"/>
              <w:jc w:val="center"/>
              <w:rPr>
                <w:rFonts w:eastAsia="Aptos Narrow" w:cstheme="minorHAnsi"/>
                <w:color w:val="000000" w:themeColor="text1"/>
              </w:rPr>
            </w:pPr>
            <w:r>
              <w:rPr>
                <w:rFonts w:eastAsia="Aptos Narrow" w:cstheme="minorHAnsi"/>
                <w:color w:val="000000" w:themeColor="text1"/>
              </w:rPr>
              <w:t>12%</w:t>
            </w:r>
          </w:p>
        </w:tc>
      </w:tr>
      <w:tr w:rsidRPr="009101B9" w:rsidR="00E05AEE" w:rsidTr="00FD0F85" w14:paraId="0C340469" w14:textId="516D778A">
        <w:trPr>
          <w:trHeight w:val="315"/>
          <w:jc w:val="center"/>
        </w:trPr>
        <w:tc>
          <w:tcPr>
            <w:tcW w:w="2490"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bottom"/>
          </w:tcPr>
          <w:p w:rsidRPr="009101B9" w:rsidR="00E05AEE" w:rsidP="009D1A27" w:rsidRDefault="00E05AEE" w14:paraId="02F7127E" w14:textId="77777777">
            <w:pPr>
              <w:spacing w:after="0"/>
              <w:rPr>
                <w:rFonts w:cstheme="minorHAnsi"/>
              </w:rPr>
            </w:pPr>
            <w:r w:rsidRPr="009101B9">
              <w:rPr>
                <w:rFonts w:eastAsia="Aptos Narrow" w:cstheme="minorHAnsi"/>
                <w:color w:val="000000" w:themeColor="text1"/>
              </w:rPr>
              <w:t>Total</w:t>
            </w:r>
          </w:p>
        </w:tc>
        <w:tc>
          <w:tcPr>
            <w:tcW w:w="2178"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rsidRPr="009101B9" w:rsidR="00E05AEE" w:rsidP="009D1A27" w:rsidRDefault="00E05AEE" w14:paraId="5B8D1D00" w14:textId="77777777">
            <w:pPr>
              <w:spacing w:after="0"/>
              <w:jc w:val="center"/>
              <w:rPr>
                <w:rFonts w:cstheme="minorHAnsi"/>
              </w:rPr>
            </w:pPr>
            <w:r w:rsidRPr="009101B9">
              <w:rPr>
                <w:rFonts w:eastAsia="Aptos Narrow" w:cstheme="minorHAnsi"/>
                <w:b/>
                <w:bCs/>
                <w:color w:val="000000" w:themeColor="text1"/>
              </w:rPr>
              <w:t>49</w:t>
            </w:r>
          </w:p>
        </w:tc>
        <w:tc>
          <w:tcPr>
            <w:tcW w:w="2178" w:type="dxa"/>
            <w:tcBorders>
              <w:top w:val="single" w:color="auto" w:sz="4" w:space="0"/>
              <w:left w:val="single" w:color="auto" w:sz="4" w:space="0"/>
              <w:bottom w:val="single" w:color="auto" w:sz="8" w:space="0"/>
              <w:right w:val="single" w:color="auto" w:sz="4" w:space="0"/>
            </w:tcBorders>
          </w:tcPr>
          <w:p w:rsidRPr="009101B9" w:rsidR="00E05AEE" w:rsidP="009D1A27" w:rsidRDefault="00E05AEE" w14:paraId="6F8FD7B9" w14:textId="77777777">
            <w:pPr>
              <w:spacing w:after="0"/>
              <w:jc w:val="center"/>
              <w:rPr>
                <w:rFonts w:eastAsia="Aptos Narrow" w:cstheme="minorHAnsi"/>
                <w:b/>
                <w:bCs/>
                <w:color w:val="000000" w:themeColor="text1"/>
              </w:rPr>
            </w:pPr>
          </w:p>
        </w:tc>
      </w:tr>
    </w:tbl>
    <w:p w:rsidR="00C739FA" w:rsidP="00C739FA" w:rsidRDefault="00C739FA" w14:paraId="63107DFF" w14:textId="77777777">
      <w:pPr>
        <w:ind w:left="360"/>
        <w:rPr>
          <w:sz w:val="24"/>
          <w:szCs w:val="24"/>
        </w:rPr>
      </w:pPr>
    </w:p>
    <w:p w:rsidRPr="00D35ED3" w:rsidR="00122E93" w:rsidP="00BF3E84" w:rsidRDefault="00C739FA" w14:paraId="44A3C3D0" w14:textId="369C96C6">
      <w:pPr>
        <w:ind w:left="360"/>
        <w:rPr>
          <w:b/>
          <w:bCs/>
          <w:color w:val="538135" w:themeColor="accent6" w:themeShade="BF"/>
        </w:rPr>
      </w:pPr>
      <w:r w:rsidRPr="00D35ED3">
        <w:t xml:space="preserve">The annual emissions associated with staff travel equates to </w:t>
      </w:r>
      <w:r w:rsidRPr="00D35ED3">
        <w:rPr>
          <w:b/>
          <w:bCs/>
          <w:color w:val="538135" w:themeColor="accent6" w:themeShade="BF"/>
        </w:rPr>
        <w:t>71,291 kgCO</w:t>
      </w:r>
      <w:r w:rsidRPr="00D35ED3">
        <w:rPr>
          <w:b/>
          <w:bCs/>
          <w:color w:val="538135" w:themeColor="accent6" w:themeShade="BF"/>
          <w:vertAlign w:val="subscript"/>
        </w:rPr>
        <w:t>2</w:t>
      </w:r>
      <w:r w:rsidRPr="00D35ED3">
        <w:rPr>
          <w:b/>
          <w:bCs/>
          <w:color w:val="538135" w:themeColor="accent6" w:themeShade="BF"/>
        </w:rPr>
        <w:t>e</w:t>
      </w:r>
      <w:r w:rsidRPr="00D35ED3">
        <w:t>.</w:t>
      </w:r>
      <w:r w:rsidRPr="00D35ED3" w:rsidR="00246CC3">
        <w:t xml:space="preserve"> I</w:t>
      </w:r>
      <w:r w:rsidRPr="00D35ED3" w:rsidR="000E39A4">
        <w:t>t is encouraging to see that 30% of staff actively travel to work either by bus, walking or cycling</w:t>
      </w:r>
      <w:r w:rsidR="0033602F">
        <w:t>.</w:t>
      </w:r>
    </w:p>
    <w:p w:rsidR="001024CA" w:rsidP="001024CA" w:rsidRDefault="00137434" w14:paraId="01668F25" w14:textId="1245F1A4">
      <w:pPr>
        <w:ind w:left="284"/>
        <w:jc w:val="center"/>
        <w:rPr>
          <w:sz w:val="24"/>
          <w:szCs w:val="24"/>
        </w:rPr>
      </w:pPr>
      <w:r w:rsidRPr="00137434">
        <w:rPr>
          <w:noProof/>
          <w:shd w:val="clear" w:color="auto" w:fill="538135" w:themeFill="accent6" w:themeFillShade="BF"/>
        </w:rPr>
        <w:lastRenderedPageBreak/>
        <w:drawing>
          <wp:inline distT="0" distB="0" distL="0" distR="0" wp14:anchorId="47FFB699" wp14:editId="3F995888">
            <wp:extent cx="4234483" cy="2128520"/>
            <wp:effectExtent l="0" t="0" r="13970" b="5080"/>
            <wp:docPr id="1462420697" name="Chart 1">
              <a:extLst xmlns:a="http://schemas.openxmlformats.org/drawingml/2006/main">
                <a:ext uri="{FF2B5EF4-FFF2-40B4-BE49-F238E27FC236}">
                  <a16:creationId xmlns:a16="http://schemas.microsoft.com/office/drawing/2014/main" id="{43A96217-EC9B-9426-4BD4-C0186CDF48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35ED3" w:rsidR="00335DFE" w:rsidP="00335DFE" w:rsidRDefault="00335DFE" w14:paraId="610EC49B" w14:textId="0CCFEBC2">
      <w:pPr>
        <w:ind w:left="284"/>
        <w:jc w:val="both"/>
      </w:pPr>
      <w:r w:rsidRPr="00D35ED3">
        <w:t>It can be seen from the data above that</w:t>
      </w:r>
      <w:r w:rsidRPr="00D35ED3" w:rsidR="00461540">
        <w:t xml:space="preserve"> for those travel methods contributing to the carbon footprint includes</w:t>
      </w:r>
      <w:r w:rsidRPr="00D35ED3">
        <w:t xml:space="preserve"> </w:t>
      </w:r>
      <w:r w:rsidRPr="00D35ED3" w:rsidR="00461540">
        <w:t>82</w:t>
      </w:r>
      <w:r w:rsidRPr="00D35ED3" w:rsidR="00246CC3">
        <w:t>% by</w:t>
      </w:r>
      <w:r w:rsidRPr="00D35ED3">
        <w:t xml:space="preserve"> car/ van/ motorcycle</w:t>
      </w:r>
      <w:r w:rsidRPr="00D35ED3" w:rsidR="00A565AF">
        <w:t xml:space="preserve"> and 17% by bus.</w:t>
      </w:r>
      <w:r w:rsidRPr="00D35ED3">
        <w:t xml:space="preserve"> There are limitations with this data as the timing coincided with the trust wide travel survey and data from the South Yorkshire Regional Services (SYRS) was used, this is not specific to the staff attending work on the </w:t>
      </w:r>
      <w:r w:rsidRPr="00D35ED3" w:rsidR="00A565AF">
        <w:t>r</w:t>
      </w:r>
      <w:r w:rsidRPr="00D35ED3">
        <w:t>enal units</w:t>
      </w:r>
      <w:r w:rsidRPr="00D35ED3" w:rsidR="001024CA">
        <w:t>, Therefore t</w:t>
      </w:r>
      <w:r w:rsidRPr="00D35ED3">
        <w:t>he recommendation was made to:</w:t>
      </w:r>
    </w:p>
    <w:p w:rsidRPr="00490CCE" w:rsidR="00BF3E84" w:rsidP="00773FED" w:rsidRDefault="00335DFE" w14:paraId="04A45A84" w14:textId="70508284">
      <w:pPr>
        <w:pStyle w:val="ListParagraph"/>
        <w:numPr>
          <w:ilvl w:val="0"/>
          <w:numId w:val="35"/>
        </w:numPr>
        <w:ind w:left="851"/>
        <w:jc w:val="both"/>
        <w:rPr>
          <w:b/>
          <w:bCs/>
          <w:color w:val="538135" w:themeColor="accent6" w:themeShade="BF"/>
        </w:rPr>
      </w:pPr>
      <w:r w:rsidRPr="00490CCE">
        <w:rPr>
          <w:b/>
          <w:bCs/>
          <w:color w:val="538135" w:themeColor="accent6" w:themeShade="BF"/>
        </w:rPr>
        <w:t xml:space="preserve">Undertake a </w:t>
      </w:r>
      <w:r w:rsidRPr="00490CCE" w:rsidR="00A62708">
        <w:rPr>
          <w:b/>
          <w:bCs/>
          <w:color w:val="538135" w:themeColor="accent6" w:themeShade="BF"/>
        </w:rPr>
        <w:t>specific travel</w:t>
      </w:r>
      <w:r w:rsidRPr="00490CCE" w:rsidR="00B26717">
        <w:rPr>
          <w:b/>
          <w:bCs/>
          <w:color w:val="538135" w:themeColor="accent6" w:themeShade="BF"/>
        </w:rPr>
        <w:t xml:space="preserve"> </w:t>
      </w:r>
      <w:r w:rsidRPr="00490CCE">
        <w:rPr>
          <w:b/>
          <w:bCs/>
          <w:color w:val="538135" w:themeColor="accent6" w:themeShade="BF"/>
        </w:rPr>
        <w:t>survey of the staff working within the Renal units at STH</w:t>
      </w:r>
      <w:r w:rsidRPr="00490CCE" w:rsidR="001016BD">
        <w:rPr>
          <w:b/>
          <w:bCs/>
          <w:color w:val="538135" w:themeColor="accent6" w:themeShade="BF"/>
        </w:rPr>
        <w:t xml:space="preserve"> to improve data associated with staff travel.</w:t>
      </w:r>
    </w:p>
    <w:p w:rsidRPr="00490CCE" w:rsidR="00174485" w:rsidP="00174485" w:rsidRDefault="00174485" w14:paraId="63C12D36" w14:textId="77777777">
      <w:pPr>
        <w:pStyle w:val="ListParagraph"/>
        <w:ind w:left="1004"/>
        <w:jc w:val="both"/>
        <w:rPr>
          <w:b/>
          <w:bCs/>
          <w:color w:val="538135" w:themeColor="accent6" w:themeShade="BF"/>
        </w:rPr>
      </w:pPr>
    </w:p>
    <w:p w:rsidRPr="00867ECE" w:rsidR="00D57E2A" w:rsidP="0027352D" w:rsidRDefault="00D623BE" w14:paraId="230527B5" w14:textId="26700417">
      <w:pPr>
        <w:pStyle w:val="ListParagraph"/>
        <w:numPr>
          <w:ilvl w:val="1"/>
          <w:numId w:val="30"/>
        </w:numPr>
        <w:jc w:val="both"/>
        <w:rPr>
          <w:rFonts w:cstheme="minorHAnsi"/>
          <w:b/>
          <w:bCs/>
          <w:color w:val="538135" w:themeColor="accent6" w:themeShade="BF"/>
          <w:sz w:val="24"/>
          <w:szCs w:val="24"/>
        </w:rPr>
      </w:pPr>
      <w:r w:rsidRPr="00867ECE">
        <w:rPr>
          <w:b/>
          <w:bCs/>
          <w:color w:val="538135" w:themeColor="accent6" w:themeShade="BF"/>
          <w:sz w:val="24"/>
          <w:szCs w:val="24"/>
        </w:rPr>
        <w:t>Pharmaceutical data</w:t>
      </w:r>
    </w:p>
    <w:p w:rsidR="00BC5479" w:rsidP="0027352D" w:rsidRDefault="00985BEF" w14:paraId="6B97A265" w14:textId="0CD25AB0">
      <w:pPr>
        <w:ind w:left="360"/>
        <w:jc w:val="both"/>
      </w:pPr>
      <w:r w:rsidRPr="003266B1">
        <w:t xml:space="preserve">The </w:t>
      </w:r>
      <w:r w:rsidRPr="003266B1" w:rsidR="00DA68A5">
        <w:t>pharmaceutical</w:t>
      </w:r>
      <w:r w:rsidRPr="003266B1">
        <w:t xml:space="preserve"> data was </w:t>
      </w:r>
      <w:r w:rsidRPr="003266B1" w:rsidR="00540D34">
        <w:t>provided</w:t>
      </w:r>
      <w:r w:rsidRPr="003266B1">
        <w:t xml:space="preserve"> by </w:t>
      </w:r>
      <w:r w:rsidR="00B26717">
        <w:t xml:space="preserve">a </w:t>
      </w:r>
      <w:r w:rsidRPr="003266B1" w:rsidR="00B26717">
        <w:t>pharmacy</w:t>
      </w:r>
      <w:r w:rsidRPr="003266B1" w:rsidR="00D91785">
        <w:t xml:space="preserve"> IT specialist. The data was limited to the </w:t>
      </w:r>
      <w:r w:rsidRPr="003266B1" w:rsidR="00DA68A5">
        <w:t>options available on the calculator</w:t>
      </w:r>
      <w:r w:rsidR="001402D0">
        <w:t>, this resulted in</w:t>
      </w:r>
      <w:r w:rsidRPr="003266B1" w:rsidR="00DA68A5">
        <w:t xml:space="preserve"> other </w:t>
      </w:r>
      <w:r w:rsidR="00D0001F">
        <w:t xml:space="preserve">items routinely used being </w:t>
      </w:r>
      <w:r w:rsidRPr="003266B1" w:rsidR="004D566E">
        <w:t>excluded from the calculation. The</w:t>
      </w:r>
      <w:r w:rsidRPr="003266B1" w:rsidR="009F2082">
        <w:t xml:space="preserve"> table below demonstrates those items included in the calculation highlighted in green</w:t>
      </w:r>
      <w:r w:rsidRPr="003266B1" w:rsidR="00BA5FB9">
        <w:t>.</w:t>
      </w:r>
      <w:r w:rsidRPr="003266B1" w:rsidR="004D566E">
        <w:t xml:space="preserve"> </w:t>
      </w:r>
      <w:r w:rsidRPr="003266B1" w:rsidR="00095B97">
        <w:t xml:space="preserve">Where a specific STH pharmaceutical option was not </w:t>
      </w:r>
      <w:r w:rsidRPr="003266B1" w:rsidR="0075531F">
        <w:t>available</w:t>
      </w:r>
      <w:r w:rsidRPr="003266B1" w:rsidR="00095B97">
        <w:t xml:space="preserve"> </w:t>
      </w:r>
      <w:r w:rsidRPr="003266B1" w:rsidR="0075531F">
        <w:t>the generic option was chosen.</w:t>
      </w:r>
    </w:p>
    <w:p w:rsidR="00BC5479" w:rsidP="006A5790" w:rsidRDefault="00BC5479" w14:paraId="6BD991D6" w14:textId="77777777">
      <w:pPr>
        <w:rPr>
          <w:sz w:val="24"/>
          <w:szCs w:val="24"/>
        </w:rPr>
      </w:pPr>
    </w:p>
    <w:tbl>
      <w:tblPr>
        <w:tblW w:w="9062" w:type="dxa"/>
        <w:jc w:val="center"/>
        <w:tblCellMar>
          <w:top w:w="15" w:type="dxa"/>
          <w:bottom w:w="15" w:type="dxa"/>
        </w:tblCellMar>
        <w:tblLook w:val="04A0" w:firstRow="1" w:lastRow="0" w:firstColumn="1" w:lastColumn="0" w:noHBand="0" w:noVBand="1"/>
      </w:tblPr>
      <w:tblGrid>
        <w:gridCol w:w="6974"/>
        <w:gridCol w:w="2088"/>
      </w:tblGrid>
      <w:tr w:rsidRPr="00CD616F" w:rsidR="00CD616F" w:rsidTr="00BC29FF" w14:paraId="0E72D882" w14:textId="77777777">
        <w:trPr>
          <w:trHeight w:val="255"/>
          <w:jc w:val="center"/>
        </w:trPr>
        <w:tc>
          <w:tcPr>
            <w:tcW w:w="6974" w:type="dxa"/>
            <w:tcBorders>
              <w:top w:val="single" w:color="auto" w:sz="8" w:space="0"/>
              <w:left w:val="single" w:color="auto" w:sz="8" w:space="0"/>
              <w:bottom w:val="single" w:color="auto" w:sz="4" w:space="0"/>
              <w:right w:val="single" w:color="auto" w:sz="4" w:space="0"/>
            </w:tcBorders>
            <w:shd w:val="clear" w:color="auto" w:fill="002060"/>
            <w:noWrap/>
            <w:hideMark/>
          </w:tcPr>
          <w:p w:rsidRPr="00D73E7C" w:rsidR="00CD616F" w:rsidP="00CD616F" w:rsidRDefault="00CD616F" w14:paraId="7C9D37EA" w14:textId="0DC7DF34">
            <w:pPr>
              <w:spacing w:after="0" w:line="240" w:lineRule="auto"/>
              <w:rPr>
                <w:rFonts w:ascii="Times New Roman" w:hAnsi="Times New Roman" w:eastAsia="Times New Roman" w:cs="Times New Roman"/>
                <w:b/>
                <w:bCs/>
                <w:color w:val="FFFFFF" w:themeColor="background1"/>
                <w:sz w:val="18"/>
                <w:szCs w:val="18"/>
                <w:lang w:eastAsia="en-GB"/>
              </w:rPr>
            </w:pPr>
            <w:r w:rsidRPr="00D73E7C">
              <w:rPr>
                <w:rFonts w:ascii="Times New Roman" w:hAnsi="Times New Roman" w:eastAsia="Times New Roman" w:cs="Times New Roman"/>
                <w:b/>
                <w:bCs/>
                <w:color w:val="FFFFFF" w:themeColor="background1"/>
                <w:sz w:val="18"/>
                <w:szCs w:val="18"/>
                <w:lang w:eastAsia="en-GB"/>
              </w:rPr>
              <w:t>Pharmaceutical</w:t>
            </w:r>
          </w:p>
        </w:tc>
        <w:tc>
          <w:tcPr>
            <w:tcW w:w="2088" w:type="dxa"/>
            <w:tcBorders>
              <w:top w:val="single" w:color="auto" w:sz="8" w:space="0"/>
              <w:left w:val="single" w:color="auto" w:sz="4" w:space="0"/>
              <w:bottom w:val="single" w:color="auto" w:sz="4" w:space="0"/>
              <w:right w:val="single" w:color="auto" w:sz="8" w:space="0"/>
            </w:tcBorders>
            <w:shd w:val="clear" w:color="auto" w:fill="002060"/>
            <w:noWrap/>
            <w:hideMark/>
          </w:tcPr>
          <w:p w:rsidRPr="00D73E7C" w:rsidR="00CD616F" w:rsidP="004C1112" w:rsidRDefault="00CD616F" w14:paraId="3677011F" w14:textId="77777777">
            <w:pPr>
              <w:spacing w:after="0" w:line="240" w:lineRule="auto"/>
              <w:jc w:val="center"/>
              <w:rPr>
                <w:rFonts w:ascii="Times New Roman" w:hAnsi="Times New Roman" w:eastAsia="Times New Roman" w:cs="Times New Roman"/>
                <w:b/>
                <w:bCs/>
                <w:color w:val="FFFFFF" w:themeColor="background1"/>
                <w:sz w:val="18"/>
                <w:szCs w:val="18"/>
                <w:lang w:eastAsia="en-GB"/>
              </w:rPr>
            </w:pPr>
            <w:r w:rsidRPr="00D73E7C">
              <w:rPr>
                <w:rFonts w:ascii="Times New Roman" w:hAnsi="Times New Roman" w:eastAsia="Times New Roman" w:cs="Times New Roman"/>
                <w:b/>
                <w:bCs/>
                <w:color w:val="FFFFFF" w:themeColor="background1"/>
                <w:sz w:val="18"/>
                <w:szCs w:val="18"/>
                <w:lang w:eastAsia="en-GB"/>
              </w:rPr>
              <w:t>Sum of Total</w:t>
            </w:r>
          </w:p>
        </w:tc>
      </w:tr>
      <w:tr w:rsidRPr="00CD616F" w:rsidR="00CD616F" w:rsidTr="00BC29FF" w14:paraId="5D7ECE60"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66E8A953"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ALFACALCIDOL 0.25 microgram Capsules 30 capsule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6B4B48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44</w:t>
            </w:r>
          </w:p>
        </w:tc>
      </w:tr>
      <w:tr w:rsidRPr="00CD616F" w:rsidR="00CD616F" w:rsidTr="00BC29FF" w14:paraId="657D9F5E"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64C01436"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ALFACALCIDOL 1 microgram Capsules 30 capsule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37D44591"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20</w:t>
            </w:r>
          </w:p>
        </w:tc>
      </w:tr>
      <w:tr w:rsidRPr="00CD616F" w:rsidR="00CD616F" w:rsidTr="00BC29FF" w14:paraId="084AE68E"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1F57D53B"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ALTEPLASE 10 mg Injection 10 mg vial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79C0A7C"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8</w:t>
            </w:r>
          </w:p>
        </w:tc>
      </w:tr>
      <w:tr w:rsidRPr="00CD616F" w:rsidR="00CD616F" w:rsidTr="00BC29FF" w14:paraId="6C81E578"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3C7B8F35"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ALTEPLASE 20 mg Injection 20 mg vial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6B31B1E1"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2</w:t>
            </w:r>
          </w:p>
        </w:tc>
      </w:tr>
      <w:tr w:rsidRPr="00CD616F" w:rsidR="00CD616F" w:rsidTr="00BC29FF" w14:paraId="4349E0D6"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46C8B1B7"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CHLORHEXIDINE (PINK) (BOTTLE) 2 % in 70% IPA Solution 200 ml bottle</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C56A6CE"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1352</w:t>
            </w:r>
          </w:p>
        </w:tc>
      </w:tr>
      <w:tr w:rsidRPr="00CD616F" w:rsidR="00CD616F" w:rsidTr="00BC29FF" w14:paraId="16E34E96"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04434DD5"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CHLORHEXIDINE (PREVASE) 0.5 % in spirit 70% (PINK) Solution 200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250DA0EC"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3</w:t>
            </w:r>
          </w:p>
        </w:tc>
      </w:tr>
      <w:tr w:rsidRPr="00CD616F" w:rsidR="00CD616F" w:rsidTr="00BC29FF" w14:paraId="6B6C3123"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294A8398"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CHLORHEXIDINE 0.2 % Mouthwash 300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2AA7336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w:t>
            </w:r>
          </w:p>
        </w:tc>
      </w:tr>
      <w:tr w:rsidRPr="00CD616F" w:rsidR="00CD616F" w:rsidTr="00BC29FF" w14:paraId="10D5D2F1"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30A5FE6E"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CITRIC ACID 50% (899) 6 litre Solution 6000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6B1E9F65"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1087</w:t>
            </w:r>
          </w:p>
        </w:tc>
      </w:tr>
      <w:tr w:rsidRPr="00CD616F" w:rsidR="00CD616F" w:rsidTr="00BC29FF" w14:paraId="69A334A3"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0F3DA986"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ENOXAPARIN (CLEXANE) 20 mg in 0.2ml Injection 10 unit.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4B9D3912"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36</w:t>
            </w:r>
          </w:p>
        </w:tc>
      </w:tr>
      <w:tr w:rsidRPr="00CD616F" w:rsidR="00CD616F" w:rsidTr="00BC29FF" w14:paraId="2FB70807"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35274DE6"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ENOXAPARIN (CLEXANE) 40 mg in 0.4ml Injection 10 x 0.4ml syringe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3FE42D9F"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11</w:t>
            </w:r>
          </w:p>
        </w:tc>
      </w:tr>
      <w:tr w:rsidRPr="00CD616F" w:rsidR="00CD616F" w:rsidTr="00BC29FF" w14:paraId="2980A076"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1BBBB12A"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ENOXAPARIN (INHIXA) 20 mg in 0.2ml Injection 10 unit.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A8849B7"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15</w:t>
            </w:r>
          </w:p>
        </w:tc>
      </w:tr>
      <w:tr w:rsidRPr="00CD616F" w:rsidR="00CD616F" w:rsidTr="00BC29FF" w14:paraId="529C1038"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4698A46F"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ENOXAPARIN (INHIXA) 40 mg in 0.4ml Injection 10 x 0.4ml syringe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68E920CC"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11</w:t>
            </w:r>
          </w:p>
        </w:tc>
      </w:tr>
      <w:tr w:rsidRPr="00CD616F" w:rsidR="00CD616F" w:rsidTr="00BC29FF" w14:paraId="55D62AE7"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48271394"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PARACETAMOL (100ML) 10 mg per ml I/V infusion 100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E26E970"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32</w:t>
            </w:r>
          </w:p>
        </w:tc>
      </w:tr>
      <w:tr w:rsidRPr="00CD616F" w:rsidR="00CD616F" w:rsidTr="00BC29FF" w14:paraId="47A36BC8"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1438C91F"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PARACETAMOL (100ml) 250 mg in 5ml Suspension (sugar-free) 100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61885EA3"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2</w:t>
            </w:r>
          </w:p>
        </w:tc>
      </w:tr>
      <w:tr w:rsidRPr="00CD616F" w:rsidR="00CD616F" w:rsidTr="00BC29FF" w14:paraId="3C09F96D"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636AA5F4"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PARACETAMOL 500 mg Tablets 32 tablet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D6D7AB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256</w:t>
            </w:r>
          </w:p>
        </w:tc>
      </w:tr>
      <w:tr w:rsidRPr="00CD616F" w:rsidR="00CD616F" w:rsidTr="00BC29FF" w14:paraId="17494BFD"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65B2ABDA"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PARACETAMOL SOLUBLE 500 mg Soluble Tabs 24 tablet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277C18F"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w:t>
            </w:r>
          </w:p>
        </w:tc>
      </w:tr>
      <w:tr w:rsidRPr="00CD616F" w:rsidR="00CD616F" w:rsidTr="00BC29FF" w14:paraId="682C5094"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71F4F5DC"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0.45% (VIAFLO) (FE1313) 500 ml Infusion 500 ml bag</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5D88E7A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6</w:t>
            </w:r>
          </w:p>
        </w:tc>
      </w:tr>
      <w:tr w:rsidRPr="00CD616F" w:rsidR="00CD616F" w:rsidTr="00BC29FF" w14:paraId="4B982D41"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071C2638"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0.9% (BRAUN Semi rigid) 100 ml Infusion 100 ml bag</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5DF2EDC3"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1000</w:t>
            </w:r>
          </w:p>
        </w:tc>
      </w:tr>
      <w:tr w:rsidRPr="00CD616F" w:rsidR="00CD616F" w:rsidTr="00BC29FF" w14:paraId="1FF29A42"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280CE12B"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0.9% (BRAUN Semi Rigid) 250 ml Infusion 250 ml bag</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126FE33"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401</w:t>
            </w:r>
          </w:p>
        </w:tc>
      </w:tr>
      <w:tr w:rsidRPr="00CD616F" w:rsidR="00CD616F" w:rsidTr="00BC29FF" w14:paraId="23466F7C"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3914A481"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0.9% (VIAFLO) (FE1306G) HADU NOT GENERAL USE 50</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67F7AA20"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3</w:t>
            </w:r>
          </w:p>
        </w:tc>
      </w:tr>
      <w:tr w:rsidRPr="00CD616F" w:rsidR="00CD616F" w:rsidTr="00BC29FF" w14:paraId="435CBE9F"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602FA410"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lastRenderedPageBreak/>
              <w:t>SODIUM CHLORIDE 0.9% (VIAFLO) (FKE1323) 500 ml Infusion 500 ml bag</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EB5E69C"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1701</w:t>
            </w:r>
          </w:p>
        </w:tc>
      </w:tr>
      <w:tr w:rsidRPr="00CD616F" w:rsidR="00CD616F" w:rsidTr="00BC29FF" w14:paraId="58432364"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shd w:val="clear" w:color="000000" w:fill="92D050"/>
            <w:noWrap/>
            <w:hideMark/>
          </w:tcPr>
          <w:p w:rsidRPr="00CD616F" w:rsidR="00CD616F" w:rsidP="00CD616F" w:rsidRDefault="00CD616F" w14:paraId="5809AC55"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0.9% (VIAFLO) (FKE1324) 1000 ml Infusion 1000 ml pack</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625192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48802</w:t>
            </w:r>
          </w:p>
        </w:tc>
      </w:tr>
      <w:tr w:rsidRPr="00CD616F" w:rsidR="00CD616F" w:rsidTr="00BC29FF" w14:paraId="3C28F8A7"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22B1A9F1"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0.9% (VIAFLO) HADU / NOT GENERAL USE 100 ml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4D14AA2"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3</w:t>
            </w:r>
          </w:p>
        </w:tc>
      </w:tr>
      <w:tr w:rsidRPr="00CD616F" w:rsidR="00CD616F" w:rsidTr="00BC29FF" w14:paraId="570595E3"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0AD7E34E"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10ml (PLASTIC AMPOULE) 0.9 % Injection 20 x 10ml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1737E980"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15</w:t>
            </w:r>
          </w:p>
        </w:tc>
      </w:tr>
      <w:tr w:rsidRPr="00CD616F" w:rsidR="00CD616F" w:rsidTr="00BC29FF" w14:paraId="631C86D5"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0C53FCC3"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20ml (PLASTIC AMPOULE) 0.9 % Injection 20 x 20ml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0D146969"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2</w:t>
            </w:r>
          </w:p>
        </w:tc>
      </w:tr>
      <w:tr w:rsidRPr="00CD616F" w:rsidR="00CD616F" w:rsidTr="00BC29FF" w14:paraId="2E0BB566" w14:textId="77777777">
        <w:trPr>
          <w:trHeight w:val="255"/>
          <w:jc w:val="center"/>
        </w:trPr>
        <w:tc>
          <w:tcPr>
            <w:tcW w:w="6974" w:type="dxa"/>
            <w:tcBorders>
              <w:top w:val="single" w:color="auto" w:sz="4" w:space="0"/>
              <w:left w:val="single" w:color="auto" w:sz="8" w:space="0"/>
              <w:bottom w:val="single" w:color="auto" w:sz="4" w:space="0"/>
              <w:right w:val="single" w:color="auto" w:sz="4" w:space="0"/>
            </w:tcBorders>
            <w:noWrap/>
            <w:hideMark/>
          </w:tcPr>
          <w:p w:rsidRPr="00CD616F" w:rsidR="00CD616F" w:rsidP="00CD616F" w:rsidRDefault="00CD616F" w14:paraId="586D813A"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5ml (PLASTIC AMPOULE) 0.9 % Injection 20 x 5ml</w:t>
            </w:r>
          </w:p>
        </w:tc>
        <w:tc>
          <w:tcPr>
            <w:tcW w:w="2088" w:type="dxa"/>
            <w:tcBorders>
              <w:top w:val="single" w:color="auto" w:sz="4" w:space="0"/>
              <w:left w:val="single" w:color="auto" w:sz="4" w:space="0"/>
              <w:bottom w:val="single" w:color="auto" w:sz="4" w:space="0"/>
              <w:right w:val="single" w:color="auto" w:sz="8" w:space="0"/>
            </w:tcBorders>
            <w:noWrap/>
            <w:hideMark/>
          </w:tcPr>
          <w:p w:rsidRPr="00CD616F" w:rsidR="00CD616F" w:rsidP="004C1112" w:rsidRDefault="00CD616F" w14:paraId="7C0384D4"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6</w:t>
            </w:r>
          </w:p>
        </w:tc>
      </w:tr>
      <w:tr w:rsidRPr="00CD616F" w:rsidR="00CD616F" w:rsidTr="00BC29FF" w14:paraId="060F9F5B" w14:textId="77777777">
        <w:trPr>
          <w:trHeight w:val="270"/>
          <w:jc w:val="center"/>
        </w:trPr>
        <w:tc>
          <w:tcPr>
            <w:tcW w:w="6974" w:type="dxa"/>
            <w:tcBorders>
              <w:top w:val="single" w:color="auto" w:sz="4" w:space="0"/>
              <w:left w:val="single" w:color="auto" w:sz="8" w:space="0"/>
              <w:bottom w:val="single" w:color="auto" w:sz="8" w:space="0"/>
              <w:right w:val="single" w:color="auto" w:sz="4" w:space="0"/>
            </w:tcBorders>
            <w:noWrap/>
            <w:hideMark/>
          </w:tcPr>
          <w:p w:rsidRPr="00CD616F" w:rsidR="00CD616F" w:rsidP="00CD616F" w:rsidRDefault="00CD616F" w14:paraId="123AD19D" w14:textId="77777777">
            <w:pPr>
              <w:spacing w:after="0" w:line="240" w:lineRule="auto"/>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SODIUM CHLORIDE 600 mg SR tablets 100 tablet bottle</w:t>
            </w:r>
          </w:p>
        </w:tc>
        <w:tc>
          <w:tcPr>
            <w:tcW w:w="2088" w:type="dxa"/>
            <w:tcBorders>
              <w:top w:val="single" w:color="auto" w:sz="4" w:space="0"/>
              <w:left w:val="single" w:color="auto" w:sz="4" w:space="0"/>
              <w:bottom w:val="single" w:color="auto" w:sz="8" w:space="0"/>
              <w:right w:val="single" w:color="auto" w:sz="8" w:space="0"/>
            </w:tcBorders>
            <w:noWrap/>
            <w:hideMark/>
          </w:tcPr>
          <w:p w:rsidRPr="00CD616F" w:rsidR="00CD616F" w:rsidP="004C1112" w:rsidRDefault="00CD616F" w14:paraId="7588396A" w14:textId="77777777">
            <w:pPr>
              <w:spacing w:after="0" w:line="240" w:lineRule="auto"/>
              <w:jc w:val="center"/>
              <w:rPr>
                <w:rFonts w:ascii="Times New Roman" w:hAnsi="Times New Roman" w:eastAsia="Times New Roman" w:cs="Times New Roman"/>
                <w:color w:val="000000"/>
                <w:sz w:val="18"/>
                <w:szCs w:val="18"/>
                <w:lang w:eastAsia="en-GB"/>
              </w:rPr>
            </w:pPr>
            <w:r w:rsidRPr="00CD616F">
              <w:rPr>
                <w:rFonts w:ascii="Times New Roman" w:hAnsi="Times New Roman" w:eastAsia="Times New Roman" w:cs="Times New Roman"/>
                <w:color w:val="000000"/>
                <w:sz w:val="18"/>
                <w:szCs w:val="18"/>
                <w:lang w:eastAsia="en-GB"/>
              </w:rPr>
              <w:t>1</w:t>
            </w:r>
          </w:p>
        </w:tc>
      </w:tr>
    </w:tbl>
    <w:p w:rsidR="00BC5479" w:rsidP="002266F9" w:rsidRDefault="00BC5479" w14:paraId="3D2350A6" w14:textId="77777777">
      <w:pPr>
        <w:rPr>
          <w:sz w:val="24"/>
          <w:szCs w:val="24"/>
        </w:rPr>
      </w:pPr>
    </w:p>
    <w:p w:rsidR="00FD0F85" w:rsidP="002266F9" w:rsidRDefault="00FD0F85" w14:paraId="346AF0FD" w14:textId="77777777">
      <w:pPr>
        <w:rPr>
          <w:sz w:val="24"/>
          <w:szCs w:val="24"/>
        </w:rPr>
      </w:pPr>
    </w:p>
    <w:p w:rsidR="00FD0F85" w:rsidP="002266F9" w:rsidRDefault="00FD0F85" w14:paraId="2E45FA5C" w14:textId="77777777">
      <w:pPr>
        <w:rPr>
          <w:sz w:val="24"/>
          <w:szCs w:val="24"/>
        </w:rPr>
      </w:pPr>
    </w:p>
    <w:tbl>
      <w:tblPr>
        <w:tblW w:w="0" w:type="auto"/>
        <w:jc w:val="center"/>
        <w:tblLayout w:type="fixed"/>
        <w:tblLook w:val="04A0" w:firstRow="1" w:lastRow="0" w:firstColumn="1" w:lastColumn="0" w:noHBand="0" w:noVBand="1"/>
      </w:tblPr>
      <w:tblGrid>
        <w:gridCol w:w="2976"/>
        <w:gridCol w:w="1985"/>
        <w:gridCol w:w="1843"/>
        <w:gridCol w:w="2258"/>
      </w:tblGrid>
      <w:tr w:rsidRPr="00BC5479" w:rsidR="00BC5479" w:rsidTr="003F7FA5" w14:paraId="2AF3FBC3"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002060"/>
            <w:tcMar>
              <w:left w:w="108" w:type="dxa"/>
              <w:right w:w="108" w:type="dxa"/>
            </w:tcMar>
          </w:tcPr>
          <w:p w:rsidRPr="00D73E7C" w:rsidR="00BC5479" w:rsidP="009D1A27" w:rsidRDefault="00BC5479" w14:paraId="75B55181" w14:textId="77777777">
            <w:pPr>
              <w:spacing w:after="0"/>
              <w:rPr>
                <w:color w:val="FFFFFF" w:themeColor="background1"/>
                <w:sz w:val="18"/>
                <w:szCs w:val="18"/>
              </w:rPr>
            </w:pPr>
            <w:r w:rsidRPr="00D73E7C">
              <w:rPr>
                <w:rFonts w:ascii="Calibri" w:hAnsi="Calibri" w:eastAsia="Calibri" w:cs="Calibri"/>
                <w:b/>
                <w:bCs/>
                <w:color w:val="FFFFFF" w:themeColor="background1"/>
                <w:sz w:val="18"/>
                <w:szCs w:val="18"/>
              </w:rPr>
              <w:t>Product</w:t>
            </w:r>
          </w:p>
        </w:tc>
        <w:tc>
          <w:tcPr>
            <w:tcW w:w="1985" w:type="dxa"/>
            <w:tcBorders>
              <w:top w:val="single" w:color="auto" w:sz="8" w:space="0"/>
              <w:left w:val="single" w:color="auto" w:sz="8" w:space="0"/>
              <w:bottom w:val="single" w:color="auto" w:sz="8" w:space="0"/>
              <w:right w:val="single" w:color="auto" w:sz="8" w:space="0"/>
            </w:tcBorders>
            <w:shd w:val="clear" w:color="auto" w:fill="002060"/>
            <w:tcMar>
              <w:left w:w="108" w:type="dxa"/>
              <w:right w:w="108" w:type="dxa"/>
            </w:tcMar>
          </w:tcPr>
          <w:p w:rsidRPr="00D73E7C" w:rsidR="00BC5479" w:rsidP="009D1A27" w:rsidRDefault="00BC5479" w14:paraId="4804B9E6" w14:textId="77777777">
            <w:pPr>
              <w:spacing w:after="0"/>
              <w:jc w:val="center"/>
              <w:rPr>
                <w:color w:val="FFFFFF" w:themeColor="background1"/>
                <w:sz w:val="18"/>
                <w:szCs w:val="18"/>
              </w:rPr>
            </w:pPr>
            <w:r w:rsidRPr="00D73E7C">
              <w:rPr>
                <w:rFonts w:ascii="Calibri" w:hAnsi="Calibri" w:eastAsia="Calibri" w:cs="Calibri"/>
                <w:b/>
                <w:bCs/>
                <w:color w:val="FFFFFF" w:themeColor="background1"/>
                <w:sz w:val="18"/>
                <w:szCs w:val="18"/>
              </w:rPr>
              <w:t>RUG</w:t>
            </w:r>
          </w:p>
        </w:tc>
        <w:tc>
          <w:tcPr>
            <w:tcW w:w="1843" w:type="dxa"/>
            <w:tcBorders>
              <w:top w:val="single" w:color="auto" w:sz="8" w:space="0"/>
              <w:left w:val="single" w:color="auto" w:sz="8" w:space="0"/>
              <w:bottom w:val="single" w:color="auto" w:sz="8" w:space="0"/>
              <w:right w:val="single" w:color="auto" w:sz="8" w:space="0"/>
            </w:tcBorders>
            <w:shd w:val="clear" w:color="auto" w:fill="002060"/>
            <w:tcMar>
              <w:left w:w="108" w:type="dxa"/>
              <w:right w:w="108" w:type="dxa"/>
            </w:tcMar>
          </w:tcPr>
          <w:p w:rsidRPr="00D73E7C" w:rsidR="00BC5479" w:rsidP="009D1A27" w:rsidRDefault="00BC5479" w14:paraId="785C8617" w14:textId="77777777">
            <w:pPr>
              <w:spacing w:after="0"/>
              <w:jc w:val="center"/>
              <w:rPr>
                <w:color w:val="FFFFFF" w:themeColor="background1"/>
                <w:sz w:val="18"/>
                <w:szCs w:val="18"/>
              </w:rPr>
            </w:pPr>
            <w:r w:rsidRPr="00D73E7C">
              <w:rPr>
                <w:rFonts w:ascii="Calibri" w:hAnsi="Calibri" w:eastAsia="Calibri" w:cs="Calibri"/>
                <w:b/>
                <w:bCs/>
                <w:color w:val="FFFFFF" w:themeColor="background1"/>
                <w:sz w:val="18"/>
                <w:szCs w:val="18"/>
              </w:rPr>
              <w:t>PMU</w:t>
            </w:r>
          </w:p>
        </w:tc>
        <w:tc>
          <w:tcPr>
            <w:tcW w:w="2258" w:type="dxa"/>
            <w:tcBorders>
              <w:top w:val="single" w:color="auto" w:sz="8" w:space="0"/>
              <w:left w:val="single" w:color="auto" w:sz="8" w:space="0"/>
              <w:bottom w:val="single" w:color="auto" w:sz="8" w:space="0"/>
              <w:right w:val="single" w:color="auto" w:sz="8" w:space="0"/>
            </w:tcBorders>
            <w:shd w:val="clear" w:color="auto" w:fill="002060"/>
            <w:tcMar>
              <w:left w:w="108" w:type="dxa"/>
              <w:right w:w="108" w:type="dxa"/>
            </w:tcMar>
          </w:tcPr>
          <w:p w:rsidRPr="00D73E7C" w:rsidR="00BC5479" w:rsidP="009D1A27" w:rsidRDefault="00BC5479" w14:paraId="109122E2" w14:textId="77777777">
            <w:pPr>
              <w:spacing w:after="0"/>
              <w:jc w:val="center"/>
              <w:rPr>
                <w:color w:val="FFFFFF" w:themeColor="background1"/>
                <w:sz w:val="18"/>
                <w:szCs w:val="18"/>
              </w:rPr>
            </w:pPr>
            <w:r w:rsidRPr="00D73E7C">
              <w:rPr>
                <w:rFonts w:ascii="Calibri" w:hAnsi="Calibri" w:eastAsia="Calibri" w:cs="Calibri"/>
                <w:b/>
                <w:bCs/>
                <w:color w:val="FFFFFF" w:themeColor="background1"/>
                <w:sz w:val="18"/>
                <w:szCs w:val="18"/>
              </w:rPr>
              <w:t>V1</w:t>
            </w:r>
          </w:p>
        </w:tc>
      </w:tr>
      <w:tr w:rsidRPr="00BC5479" w:rsidR="00BC5479" w:rsidTr="003F7FA5" w14:paraId="79549AB3"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6D0E4280" w14:textId="77777777">
            <w:pPr>
              <w:spacing w:after="0"/>
              <w:rPr>
                <w:sz w:val="18"/>
                <w:szCs w:val="18"/>
              </w:rPr>
            </w:pPr>
            <w:r w:rsidRPr="004C1112">
              <w:rPr>
                <w:rFonts w:ascii="Calibri" w:hAnsi="Calibri" w:eastAsia="Calibri" w:cs="Calibri"/>
                <w:color w:val="000000" w:themeColor="text1"/>
                <w:sz w:val="18"/>
                <w:szCs w:val="18"/>
              </w:rPr>
              <w:t>Citric Acid 50% 6L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571A2076" w14:textId="77777777">
            <w:pPr>
              <w:spacing w:after="0"/>
              <w:jc w:val="center"/>
              <w:rPr>
                <w:sz w:val="18"/>
                <w:szCs w:val="18"/>
              </w:rPr>
            </w:pPr>
            <w:r w:rsidRPr="00BC5479">
              <w:rPr>
                <w:rFonts w:ascii="Calibri" w:hAnsi="Calibri" w:eastAsia="Calibri" w:cs="Calibri"/>
                <w:color w:val="000000" w:themeColor="text1"/>
                <w:sz w:val="18"/>
                <w:szCs w:val="18"/>
              </w:rPr>
              <w:t>503</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205C215E" w14:textId="77777777">
            <w:pPr>
              <w:spacing w:after="0"/>
              <w:jc w:val="center"/>
              <w:rPr>
                <w:sz w:val="18"/>
                <w:szCs w:val="18"/>
              </w:rPr>
            </w:pPr>
            <w:r w:rsidRPr="00BC5479">
              <w:rPr>
                <w:rFonts w:ascii="Calibri" w:hAnsi="Calibri" w:eastAsia="Calibri" w:cs="Calibri"/>
                <w:color w:val="000000" w:themeColor="text1"/>
                <w:sz w:val="18"/>
                <w:szCs w:val="18"/>
              </w:rPr>
              <w:t>481</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0978C61A" w14:textId="77777777">
            <w:pPr>
              <w:spacing w:after="0"/>
              <w:jc w:val="center"/>
              <w:rPr>
                <w:sz w:val="18"/>
                <w:szCs w:val="18"/>
              </w:rPr>
            </w:pPr>
            <w:r w:rsidRPr="00BC5479">
              <w:rPr>
                <w:rFonts w:ascii="Calibri" w:hAnsi="Calibri" w:eastAsia="Calibri" w:cs="Calibri"/>
                <w:color w:val="000000" w:themeColor="text1"/>
                <w:sz w:val="18"/>
                <w:szCs w:val="18"/>
              </w:rPr>
              <w:t>85</w:t>
            </w:r>
          </w:p>
        </w:tc>
      </w:tr>
      <w:tr w:rsidRPr="00BC5479" w:rsidR="00BC5479" w:rsidTr="003F7FA5" w14:paraId="4057BB29"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3284A097" w14:textId="77777777">
            <w:pPr>
              <w:spacing w:after="0"/>
              <w:rPr>
                <w:sz w:val="18"/>
                <w:szCs w:val="18"/>
              </w:rPr>
            </w:pPr>
            <w:r w:rsidRPr="004C1112">
              <w:rPr>
                <w:rFonts w:ascii="Calibri" w:hAnsi="Calibri" w:eastAsia="Calibri" w:cs="Calibri"/>
                <w:color w:val="000000" w:themeColor="text1"/>
                <w:sz w:val="18"/>
                <w:szCs w:val="18"/>
              </w:rPr>
              <w:t>Sodium Bicarbonate 760g (packs of 10)</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25118CAF" w14:textId="77777777">
            <w:pPr>
              <w:spacing w:after="0"/>
              <w:jc w:val="center"/>
              <w:rPr>
                <w:sz w:val="18"/>
                <w:szCs w:val="18"/>
              </w:rPr>
            </w:pPr>
            <w:r w:rsidRPr="00BC5479">
              <w:rPr>
                <w:rFonts w:ascii="Calibri" w:hAnsi="Calibri" w:eastAsia="Calibri" w:cs="Calibri"/>
                <w:color w:val="000000" w:themeColor="text1"/>
                <w:sz w:val="18"/>
                <w:szCs w:val="18"/>
              </w:rPr>
              <w:t>2192</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2D4EE885" w14:textId="77777777">
            <w:pPr>
              <w:spacing w:after="0"/>
              <w:jc w:val="center"/>
              <w:rPr>
                <w:sz w:val="18"/>
                <w:szCs w:val="18"/>
              </w:rPr>
            </w:pPr>
            <w:r w:rsidRPr="00BC5479">
              <w:rPr>
                <w:rFonts w:ascii="Calibri" w:hAnsi="Calibri" w:eastAsia="Calibri" w:cs="Calibri"/>
                <w:color w:val="000000" w:themeColor="text1"/>
                <w:sz w:val="18"/>
                <w:szCs w:val="18"/>
              </w:rPr>
              <w:t>1916</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473B1314" w14:textId="77777777">
            <w:pPr>
              <w:spacing w:after="0"/>
              <w:jc w:val="center"/>
              <w:rPr>
                <w:sz w:val="18"/>
                <w:szCs w:val="18"/>
              </w:rPr>
            </w:pPr>
            <w:r w:rsidRPr="00BC5479">
              <w:rPr>
                <w:rFonts w:ascii="Calibri" w:hAnsi="Calibri" w:eastAsia="Calibri" w:cs="Calibri"/>
                <w:color w:val="000000" w:themeColor="text1"/>
                <w:sz w:val="18"/>
                <w:szCs w:val="18"/>
              </w:rPr>
              <w:t>281</w:t>
            </w:r>
          </w:p>
        </w:tc>
      </w:tr>
      <w:tr w:rsidRPr="00BC5479" w:rsidR="00BC5479" w:rsidTr="003F7FA5" w14:paraId="24629E5D"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00B3E605" w14:textId="77777777">
            <w:pPr>
              <w:spacing w:after="0"/>
              <w:rPr>
                <w:sz w:val="18"/>
                <w:szCs w:val="18"/>
              </w:rPr>
            </w:pPr>
            <w:proofErr w:type="spellStart"/>
            <w:r w:rsidRPr="004C1112">
              <w:rPr>
                <w:rFonts w:ascii="Calibri" w:hAnsi="Calibri" w:eastAsia="Calibri" w:cs="Calibri"/>
                <w:color w:val="000000" w:themeColor="text1"/>
                <w:sz w:val="18"/>
                <w:szCs w:val="18"/>
              </w:rPr>
              <w:t>Renalyte</w:t>
            </w:r>
            <w:proofErr w:type="spellEnd"/>
            <w:r w:rsidRPr="004C1112">
              <w:rPr>
                <w:rFonts w:ascii="Calibri" w:hAnsi="Calibri" w:eastAsia="Calibri" w:cs="Calibri"/>
                <w:color w:val="000000" w:themeColor="text1"/>
                <w:sz w:val="18"/>
                <w:szCs w:val="18"/>
              </w:rPr>
              <w:t xml:space="preserve"> A10 5L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108C044B" w14:textId="77777777">
            <w:pPr>
              <w:spacing w:after="0"/>
              <w:jc w:val="center"/>
              <w:rPr>
                <w:sz w:val="18"/>
                <w:szCs w:val="18"/>
              </w:rPr>
            </w:pPr>
            <w:r w:rsidRPr="00BC5479">
              <w:rPr>
                <w:rFonts w:ascii="Calibri" w:hAnsi="Calibri" w:eastAsia="Calibri" w:cs="Calibri"/>
                <w:color w:val="000000" w:themeColor="text1"/>
                <w:sz w:val="18"/>
                <w:szCs w:val="18"/>
              </w:rPr>
              <w:t>25</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668D66BE" w14:textId="77777777">
            <w:pPr>
              <w:spacing w:after="0"/>
              <w:jc w:val="center"/>
              <w:rPr>
                <w:sz w:val="18"/>
                <w:szCs w:val="18"/>
              </w:rPr>
            </w:pPr>
            <w:r w:rsidRPr="00BC5479">
              <w:rPr>
                <w:rFonts w:ascii="Calibri" w:hAnsi="Calibri" w:eastAsia="Calibri" w:cs="Calibri"/>
                <w:color w:val="000000" w:themeColor="text1"/>
                <w:sz w:val="18"/>
                <w:szCs w:val="18"/>
              </w:rPr>
              <w:t>341</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59AB86E3" w14:textId="77777777">
            <w:pPr>
              <w:spacing w:after="0"/>
              <w:jc w:val="center"/>
              <w:rPr>
                <w:sz w:val="18"/>
                <w:szCs w:val="18"/>
              </w:rPr>
            </w:pPr>
            <w:r w:rsidRPr="00BC5479">
              <w:rPr>
                <w:rFonts w:ascii="Calibri" w:hAnsi="Calibri" w:eastAsia="Calibri" w:cs="Calibri"/>
                <w:color w:val="000000" w:themeColor="text1"/>
                <w:sz w:val="18"/>
                <w:szCs w:val="18"/>
              </w:rPr>
              <w:t>28</w:t>
            </w:r>
          </w:p>
        </w:tc>
      </w:tr>
      <w:tr w:rsidRPr="00BC5479" w:rsidR="00BC5479" w:rsidTr="003F7FA5" w14:paraId="1B76F19A"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76621ED6" w14:textId="77777777">
            <w:pPr>
              <w:spacing w:after="0"/>
              <w:rPr>
                <w:sz w:val="18"/>
                <w:szCs w:val="18"/>
              </w:rPr>
            </w:pPr>
            <w:proofErr w:type="spellStart"/>
            <w:r w:rsidRPr="004C1112">
              <w:rPr>
                <w:rFonts w:ascii="Calibri" w:hAnsi="Calibri" w:eastAsia="Calibri" w:cs="Calibri"/>
                <w:color w:val="000000" w:themeColor="text1"/>
                <w:sz w:val="18"/>
                <w:szCs w:val="18"/>
              </w:rPr>
              <w:t>Renalyte</w:t>
            </w:r>
            <w:proofErr w:type="spellEnd"/>
            <w:r w:rsidRPr="004C1112">
              <w:rPr>
                <w:rFonts w:ascii="Calibri" w:hAnsi="Calibri" w:eastAsia="Calibri" w:cs="Calibri"/>
                <w:color w:val="000000" w:themeColor="text1"/>
                <w:sz w:val="18"/>
                <w:szCs w:val="18"/>
              </w:rPr>
              <w:t xml:space="preserve"> A17 5L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2D45FBC4" w14:textId="77777777">
            <w:pPr>
              <w:spacing w:after="0"/>
              <w:jc w:val="center"/>
              <w:rPr>
                <w:sz w:val="18"/>
                <w:szCs w:val="18"/>
              </w:rPr>
            </w:pPr>
            <w:r w:rsidRPr="00BC5479">
              <w:rPr>
                <w:rFonts w:ascii="Calibri" w:hAnsi="Calibri" w:eastAsia="Calibri" w:cs="Calibri"/>
                <w:color w:val="000000" w:themeColor="text1"/>
                <w:sz w:val="18"/>
                <w:szCs w:val="18"/>
              </w:rPr>
              <w:t>NIL</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70D86A23" w14:textId="77777777">
            <w:pPr>
              <w:spacing w:after="0"/>
              <w:jc w:val="center"/>
              <w:rPr>
                <w:sz w:val="18"/>
                <w:szCs w:val="18"/>
              </w:rPr>
            </w:pPr>
            <w:r w:rsidRPr="00BC5479">
              <w:rPr>
                <w:rFonts w:ascii="Calibri" w:hAnsi="Calibri" w:eastAsia="Calibri" w:cs="Calibri"/>
                <w:color w:val="000000" w:themeColor="text1"/>
                <w:sz w:val="18"/>
                <w:szCs w:val="18"/>
              </w:rPr>
              <w:t>3</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396CBC0C" w14:textId="77777777">
            <w:pPr>
              <w:spacing w:after="0"/>
              <w:jc w:val="center"/>
              <w:rPr>
                <w:sz w:val="18"/>
                <w:szCs w:val="18"/>
              </w:rPr>
            </w:pPr>
            <w:r w:rsidRPr="00BC5479">
              <w:rPr>
                <w:rFonts w:ascii="Calibri" w:hAnsi="Calibri" w:eastAsia="Calibri" w:cs="Calibri"/>
                <w:color w:val="000000" w:themeColor="text1"/>
                <w:sz w:val="18"/>
                <w:szCs w:val="18"/>
              </w:rPr>
              <w:t>NIL</w:t>
            </w:r>
          </w:p>
        </w:tc>
      </w:tr>
      <w:tr w:rsidRPr="00BC5479" w:rsidR="00BC5479" w:rsidTr="003F7FA5" w14:paraId="72CF8AF7"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3D1F613C" w14:textId="77777777">
            <w:pPr>
              <w:spacing w:after="0"/>
              <w:rPr>
                <w:sz w:val="18"/>
                <w:szCs w:val="18"/>
              </w:rPr>
            </w:pPr>
            <w:proofErr w:type="spellStart"/>
            <w:r w:rsidRPr="004C1112">
              <w:rPr>
                <w:rFonts w:ascii="Calibri" w:hAnsi="Calibri" w:eastAsia="Calibri" w:cs="Calibri"/>
                <w:color w:val="000000" w:themeColor="text1"/>
                <w:sz w:val="18"/>
                <w:szCs w:val="18"/>
              </w:rPr>
              <w:t>Renalyte</w:t>
            </w:r>
            <w:proofErr w:type="spellEnd"/>
            <w:r w:rsidRPr="004C1112">
              <w:rPr>
                <w:rFonts w:ascii="Calibri" w:hAnsi="Calibri" w:eastAsia="Calibri" w:cs="Calibri"/>
                <w:color w:val="000000" w:themeColor="text1"/>
                <w:sz w:val="18"/>
                <w:szCs w:val="18"/>
              </w:rPr>
              <w:t xml:space="preserve"> A6 1L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77E20ECA" w14:textId="77777777">
            <w:pPr>
              <w:spacing w:after="0"/>
              <w:jc w:val="center"/>
              <w:rPr>
                <w:sz w:val="18"/>
                <w:szCs w:val="18"/>
              </w:rPr>
            </w:pPr>
            <w:r w:rsidRPr="00BC5479">
              <w:rPr>
                <w:rFonts w:ascii="Calibri" w:hAnsi="Calibri" w:eastAsia="Calibri" w:cs="Calibri"/>
                <w:color w:val="000000" w:themeColor="text1"/>
                <w:sz w:val="18"/>
                <w:szCs w:val="18"/>
              </w:rPr>
              <w:t>93000</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365E4CFA" w14:textId="77777777">
            <w:pPr>
              <w:spacing w:after="0"/>
              <w:jc w:val="center"/>
              <w:rPr>
                <w:sz w:val="18"/>
                <w:szCs w:val="18"/>
              </w:rPr>
            </w:pPr>
            <w:r w:rsidRPr="00BC5479">
              <w:rPr>
                <w:rFonts w:ascii="Calibri" w:hAnsi="Calibri" w:eastAsia="Calibri" w:cs="Calibri"/>
                <w:color w:val="000000" w:themeColor="text1"/>
                <w:sz w:val="18"/>
                <w:szCs w:val="18"/>
              </w:rPr>
              <w:t>54000</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5ABBD462" w14:textId="77777777">
            <w:pPr>
              <w:spacing w:after="0"/>
              <w:jc w:val="center"/>
              <w:rPr>
                <w:sz w:val="18"/>
                <w:szCs w:val="18"/>
              </w:rPr>
            </w:pPr>
            <w:r w:rsidRPr="00BC5479">
              <w:rPr>
                <w:rFonts w:ascii="Calibri" w:hAnsi="Calibri" w:eastAsia="Calibri" w:cs="Calibri"/>
                <w:color w:val="000000" w:themeColor="text1"/>
                <w:sz w:val="18"/>
                <w:szCs w:val="18"/>
              </w:rPr>
              <w:t>NIL</w:t>
            </w:r>
          </w:p>
        </w:tc>
      </w:tr>
      <w:tr w:rsidRPr="00BC5479" w:rsidR="00BC5479" w:rsidTr="003F7FA5" w14:paraId="154C92E9"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1F131DFE" w14:textId="77777777">
            <w:pPr>
              <w:spacing w:after="0"/>
              <w:rPr>
                <w:sz w:val="18"/>
                <w:szCs w:val="18"/>
              </w:rPr>
            </w:pPr>
            <w:proofErr w:type="spellStart"/>
            <w:r w:rsidRPr="004C1112">
              <w:rPr>
                <w:rFonts w:ascii="Calibri" w:hAnsi="Calibri" w:eastAsia="Calibri" w:cs="Calibri"/>
                <w:color w:val="000000" w:themeColor="text1"/>
                <w:sz w:val="18"/>
                <w:szCs w:val="18"/>
              </w:rPr>
              <w:t>Renalyte</w:t>
            </w:r>
            <w:proofErr w:type="spellEnd"/>
            <w:r w:rsidRPr="004C1112">
              <w:rPr>
                <w:rFonts w:ascii="Calibri" w:hAnsi="Calibri" w:eastAsia="Calibri" w:cs="Calibri"/>
                <w:color w:val="000000" w:themeColor="text1"/>
                <w:sz w:val="18"/>
                <w:szCs w:val="18"/>
              </w:rPr>
              <w:t xml:space="preserve"> A6 5L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3B726148" w14:textId="77777777">
            <w:pPr>
              <w:spacing w:after="0"/>
              <w:jc w:val="center"/>
              <w:rPr>
                <w:sz w:val="18"/>
                <w:szCs w:val="18"/>
              </w:rPr>
            </w:pPr>
            <w:r w:rsidRPr="00BC5479">
              <w:rPr>
                <w:rFonts w:ascii="Calibri" w:hAnsi="Calibri" w:eastAsia="Calibri" w:cs="Calibri"/>
                <w:color w:val="000000" w:themeColor="text1"/>
                <w:sz w:val="18"/>
                <w:szCs w:val="18"/>
              </w:rPr>
              <w:t>3826</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2E0ACFFD" w14:textId="77777777">
            <w:pPr>
              <w:spacing w:after="0"/>
              <w:jc w:val="center"/>
              <w:rPr>
                <w:sz w:val="18"/>
                <w:szCs w:val="18"/>
              </w:rPr>
            </w:pPr>
            <w:r w:rsidRPr="00BC5479">
              <w:rPr>
                <w:rFonts w:ascii="Calibri" w:hAnsi="Calibri" w:eastAsia="Calibri" w:cs="Calibri"/>
                <w:color w:val="000000" w:themeColor="text1"/>
                <w:sz w:val="18"/>
                <w:szCs w:val="18"/>
              </w:rPr>
              <w:t>3398</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6FD9E5AA" w14:textId="77777777">
            <w:pPr>
              <w:spacing w:after="0"/>
              <w:jc w:val="center"/>
              <w:rPr>
                <w:sz w:val="18"/>
                <w:szCs w:val="18"/>
              </w:rPr>
            </w:pPr>
            <w:r w:rsidRPr="00BC5479">
              <w:rPr>
                <w:rFonts w:ascii="Calibri" w:hAnsi="Calibri" w:eastAsia="Calibri" w:cs="Calibri"/>
                <w:color w:val="000000" w:themeColor="text1"/>
                <w:sz w:val="18"/>
                <w:szCs w:val="18"/>
              </w:rPr>
              <w:t>1560</w:t>
            </w:r>
          </w:p>
        </w:tc>
      </w:tr>
      <w:tr w:rsidRPr="00BC5479" w:rsidR="00BC5479" w:rsidTr="003F7FA5" w14:paraId="511EAC84" w14:textId="77777777">
        <w:trPr>
          <w:trHeight w:val="300"/>
          <w:jc w:val="center"/>
        </w:trPr>
        <w:tc>
          <w:tcPr>
            <w:tcW w:w="2976"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4C1112" w:rsidR="00BC5479" w:rsidP="009D1A27" w:rsidRDefault="00BC5479" w14:paraId="35ACBAB4" w14:textId="77777777">
            <w:pPr>
              <w:spacing w:after="0"/>
              <w:rPr>
                <w:sz w:val="18"/>
                <w:szCs w:val="18"/>
              </w:rPr>
            </w:pPr>
            <w:proofErr w:type="spellStart"/>
            <w:r w:rsidRPr="004C1112">
              <w:rPr>
                <w:rFonts w:ascii="Calibri" w:hAnsi="Calibri" w:eastAsia="Calibri" w:cs="Calibri"/>
                <w:color w:val="000000" w:themeColor="text1"/>
                <w:sz w:val="18"/>
                <w:szCs w:val="18"/>
              </w:rPr>
              <w:t>Renalyte</w:t>
            </w:r>
            <w:proofErr w:type="spellEnd"/>
            <w:r w:rsidRPr="004C1112">
              <w:rPr>
                <w:rFonts w:ascii="Calibri" w:hAnsi="Calibri" w:eastAsia="Calibri" w:cs="Calibri"/>
                <w:color w:val="000000" w:themeColor="text1"/>
                <w:sz w:val="18"/>
                <w:szCs w:val="18"/>
              </w:rPr>
              <w:t xml:space="preserve"> A8 5L</w:t>
            </w:r>
          </w:p>
        </w:tc>
        <w:tc>
          <w:tcPr>
            <w:tcW w:w="198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3E835EDC" w14:textId="77777777">
            <w:pPr>
              <w:spacing w:after="0"/>
              <w:jc w:val="center"/>
              <w:rPr>
                <w:sz w:val="18"/>
                <w:szCs w:val="18"/>
              </w:rPr>
            </w:pPr>
            <w:r w:rsidRPr="00BC5479">
              <w:rPr>
                <w:rFonts w:ascii="Calibri" w:hAnsi="Calibri" w:eastAsia="Calibri" w:cs="Calibri"/>
                <w:color w:val="000000" w:themeColor="text1"/>
                <w:sz w:val="18"/>
                <w:szCs w:val="18"/>
              </w:rPr>
              <w:t>1087</w:t>
            </w:r>
          </w:p>
        </w:tc>
        <w:tc>
          <w:tcPr>
            <w:tcW w:w="1843"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50DB0519" w14:textId="77777777">
            <w:pPr>
              <w:spacing w:after="0"/>
              <w:jc w:val="center"/>
              <w:rPr>
                <w:sz w:val="18"/>
                <w:szCs w:val="18"/>
              </w:rPr>
            </w:pPr>
            <w:r w:rsidRPr="00BC5479">
              <w:rPr>
                <w:rFonts w:ascii="Calibri" w:hAnsi="Calibri" w:eastAsia="Calibri" w:cs="Calibri"/>
                <w:color w:val="000000" w:themeColor="text1"/>
                <w:sz w:val="18"/>
                <w:szCs w:val="18"/>
              </w:rPr>
              <w:t>2680</w:t>
            </w:r>
          </w:p>
        </w:tc>
        <w:tc>
          <w:tcPr>
            <w:tcW w:w="2258"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tcPr>
          <w:p w:rsidRPr="00BC5479" w:rsidR="00BC5479" w:rsidP="009D1A27" w:rsidRDefault="00BC5479" w14:paraId="7D5F6E7D" w14:textId="77777777">
            <w:pPr>
              <w:spacing w:after="0"/>
              <w:jc w:val="center"/>
              <w:rPr>
                <w:sz w:val="18"/>
                <w:szCs w:val="18"/>
              </w:rPr>
            </w:pPr>
            <w:r w:rsidRPr="00BC5479">
              <w:rPr>
                <w:rFonts w:ascii="Calibri" w:hAnsi="Calibri" w:eastAsia="Calibri" w:cs="Calibri"/>
                <w:color w:val="000000" w:themeColor="text1"/>
                <w:sz w:val="18"/>
                <w:szCs w:val="18"/>
              </w:rPr>
              <w:t>660</w:t>
            </w:r>
          </w:p>
        </w:tc>
      </w:tr>
    </w:tbl>
    <w:p w:rsidR="00BC5479" w:rsidP="56D6C4DB" w:rsidRDefault="00BC5479" w14:paraId="50D425A7" w14:textId="77777777">
      <w:pPr>
        <w:ind w:left="360"/>
        <w:rPr>
          <w:sz w:val="24"/>
          <w:szCs w:val="24"/>
        </w:rPr>
      </w:pPr>
    </w:p>
    <w:p w:rsidR="001D5372" w:rsidP="00911C15" w:rsidRDefault="002E00DF" w14:paraId="33995A44" w14:textId="0DA941AA">
      <w:pPr>
        <w:ind w:left="360"/>
        <w:rPr>
          <w:b/>
          <w:bCs/>
          <w:color w:val="538135" w:themeColor="accent6" w:themeShade="BF"/>
        </w:rPr>
      </w:pPr>
      <w:r w:rsidRPr="003266B1">
        <w:t xml:space="preserve">The annual emissions </w:t>
      </w:r>
      <w:r w:rsidRPr="003266B1" w:rsidR="00D73E7C">
        <w:t>associated with</w:t>
      </w:r>
      <w:r w:rsidRPr="003266B1" w:rsidR="00865D52">
        <w:t xml:space="preserve"> pharmaceutical use </w:t>
      </w:r>
      <w:r w:rsidRPr="003266B1">
        <w:t xml:space="preserve">equates to </w:t>
      </w:r>
      <w:r w:rsidRPr="003266B1">
        <w:rPr>
          <w:b/>
          <w:bCs/>
          <w:color w:val="538135" w:themeColor="accent6" w:themeShade="BF"/>
        </w:rPr>
        <w:t>1</w:t>
      </w:r>
      <w:r w:rsidRPr="003266B1" w:rsidR="00002B6A">
        <w:rPr>
          <w:b/>
          <w:bCs/>
          <w:color w:val="538135" w:themeColor="accent6" w:themeShade="BF"/>
        </w:rPr>
        <w:t>61</w:t>
      </w:r>
      <w:r w:rsidRPr="003266B1" w:rsidR="00AE25D5">
        <w:rPr>
          <w:b/>
          <w:bCs/>
          <w:color w:val="538135" w:themeColor="accent6" w:themeShade="BF"/>
        </w:rPr>
        <w:t>,991</w:t>
      </w:r>
      <w:r w:rsidRPr="003266B1" w:rsidR="00142906">
        <w:t xml:space="preserve"> </w:t>
      </w:r>
      <w:r w:rsidRPr="003266B1" w:rsidR="00142906">
        <w:rPr>
          <w:b/>
          <w:bCs/>
          <w:color w:val="538135" w:themeColor="accent6" w:themeShade="BF"/>
        </w:rPr>
        <w:t>kgCO</w:t>
      </w:r>
      <w:r w:rsidRPr="003266B1" w:rsidR="00142906">
        <w:rPr>
          <w:b/>
          <w:bCs/>
          <w:color w:val="538135" w:themeColor="accent6" w:themeShade="BF"/>
          <w:vertAlign w:val="subscript"/>
        </w:rPr>
        <w:t>2</w:t>
      </w:r>
      <w:r w:rsidRPr="003266B1" w:rsidR="00142906">
        <w:rPr>
          <w:b/>
          <w:bCs/>
          <w:color w:val="538135" w:themeColor="accent6" w:themeShade="BF"/>
        </w:rPr>
        <w:t>e</w:t>
      </w:r>
      <w:r w:rsidR="009C2B3D">
        <w:rPr>
          <w:b/>
          <w:bCs/>
          <w:color w:val="538135" w:themeColor="accent6" w:themeShade="BF"/>
        </w:rPr>
        <w:t>.</w:t>
      </w:r>
    </w:p>
    <w:p w:rsidR="00252AA1" w:rsidP="00D127E1" w:rsidRDefault="00607643" w14:paraId="3C4ECF75" w14:textId="03A274A6">
      <w:pPr>
        <w:ind w:left="360"/>
        <w:jc w:val="both"/>
      </w:pPr>
      <w:r w:rsidRPr="00607643">
        <w:t xml:space="preserve">It can be seen from the data above </w:t>
      </w:r>
      <w:r>
        <w:t xml:space="preserve">that there are </w:t>
      </w:r>
      <w:proofErr w:type="gramStart"/>
      <w:r>
        <w:t>a number of</w:t>
      </w:r>
      <w:proofErr w:type="gramEnd"/>
      <w:r>
        <w:t xml:space="preserve"> items routinely used for patient care </w:t>
      </w:r>
      <w:r w:rsidR="00CC0CC5">
        <w:t xml:space="preserve">which were </w:t>
      </w:r>
      <w:r w:rsidR="00714CA1">
        <w:t>unable to be included in the calculation</w:t>
      </w:r>
      <w:r w:rsidR="00CC0CC5">
        <w:t>, and</w:t>
      </w:r>
      <w:r w:rsidR="00714CA1">
        <w:t xml:space="preserve"> others where </w:t>
      </w:r>
      <w:r w:rsidR="00855D38">
        <w:t>generic</w:t>
      </w:r>
      <w:r w:rsidR="00714CA1">
        <w:t xml:space="preserve"> and not specific to STH items were used.</w:t>
      </w:r>
      <w:r w:rsidR="007133F7">
        <w:t xml:space="preserve"> The pharmaceutical</w:t>
      </w:r>
      <w:r w:rsidR="00CC0CC5">
        <w:t>s</w:t>
      </w:r>
      <w:r w:rsidR="007133F7">
        <w:t xml:space="preserve"> </w:t>
      </w:r>
      <w:r w:rsidR="003D0568">
        <w:t>make</w:t>
      </w:r>
      <w:r w:rsidR="007133F7">
        <w:t xml:space="preserve"> up 20% of the overall carbon footprint</w:t>
      </w:r>
      <w:r w:rsidR="007566F3">
        <w:t xml:space="preserve">, </w:t>
      </w:r>
      <w:r w:rsidR="00024AF0">
        <w:t>a carbon hotspot</w:t>
      </w:r>
      <w:r w:rsidR="001C214D">
        <w:t xml:space="preserve"> at 161,991 </w:t>
      </w:r>
      <w:r w:rsidRPr="001C214D" w:rsidR="001C214D">
        <w:t>kgCO</w:t>
      </w:r>
      <w:r w:rsidRPr="003042C0" w:rsidR="001C214D">
        <w:rPr>
          <w:vertAlign w:val="subscript"/>
        </w:rPr>
        <w:t>2</w:t>
      </w:r>
      <w:r w:rsidRPr="001C214D" w:rsidR="001C214D">
        <w:t>e</w:t>
      </w:r>
      <w:r w:rsidR="003D0568">
        <w:t xml:space="preserve">. With improved metrics this </w:t>
      </w:r>
      <w:r w:rsidR="00430252">
        <w:t>figure will be higher</w:t>
      </w:r>
      <w:r w:rsidR="009D1A41">
        <w:t xml:space="preserve"> than currently shown</w:t>
      </w:r>
      <w:r w:rsidR="00430252">
        <w:t xml:space="preserve">. </w:t>
      </w:r>
      <w:r w:rsidR="0093344C">
        <w:t>Therefore, t</w:t>
      </w:r>
      <w:r w:rsidR="00430252">
        <w:t>he recommendation made is:</w:t>
      </w:r>
    </w:p>
    <w:p w:rsidR="007567DB" w:rsidP="00B542CC" w:rsidRDefault="00B91701" w14:paraId="4F1C080F" w14:textId="2A6EC3D1">
      <w:pPr>
        <w:pStyle w:val="ListParagraph"/>
        <w:numPr>
          <w:ilvl w:val="0"/>
          <w:numId w:val="36"/>
        </w:numPr>
        <w:jc w:val="both"/>
      </w:pPr>
      <w:r w:rsidRPr="00B542CC">
        <w:rPr>
          <w:rFonts w:asciiTheme="minorHAnsi" w:hAnsiTheme="minorHAnsi" w:eastAsiaTheme="minorHAnsi" w:cstheme="minorBidi"/>
          <w:b/>
          <w:bCs/>
          <w:color w:val="538135" w:themeColor="accent6" w:themeShade="BF"/>
        </w:rPr>
        <w:t xml:space="preserve">To work with the </w:t>
      </w:r>
      <w:r w:rsidRPr="00B542CC" w:rsidR="0015782C">
        <w:rPr>
          <w:rFonts w:asciiTheme="minorHAnsi" w:hAnsiTheme="minorHAnsi" w:eastAsiaTheme="minorHAnsi" w:cstheme="minorBidi"/>
          <w:b/>
          <w:bCs/>
          <w:color w:val="538135" w:themeColor="accent6" w:themeShade="BF"/>
        </w:rPr>
        <w:t>Sustainable Healthcare Coalition</w:t>
      </w:r>
      <w:r w:rsidR="00064A15">
        <w:rPr>
          <w:rFonts w:asciiTheme="minorHAnsi" w:hAnsiTheme="minorHAnsi" w:eastAsiaTheme="minorHAnsi" w:cstheme="minorBidi"/>
          <w:b/>
          <w:bCs/>
          <w:color w:val="538135" w:themeColor="accent6" w:themeShade="BF"/>
        </w:rPr>
        <w:t xml:space="preserve"> (SHC)</w:t>
      </w:r>
      <w:r w:rsidRPr="00B542CC" w:rsidR="0015782C">
        <w:rPr>
          <w:rFonts w:asciiTheme="minorHAnsi" w:hAnsiTheme="minorHAnsi" w:eastAsiaTheme="minorHAnsi" w:cstheme="minorBidi"/>
          <w:b/>
          <w:bCs/>
          <w:color w:val="538135" w:themeColor="accent6" w:themeShade="BF"/>
        </w:rPr>
        <w:t xml:space="preserve"> to </w:t>
      </w:r>
      <w:r w:rsidRPr="00B542CC" w:rsidR="006E2722">
        <w:rPr>
          <w:rFonts w:asciiTheme="minorHAnsi" w:hAnsiTheme="minorHAnsi" w:eastAsiaTheme="minorHAnsi" w:cstheme="minorBidi"/>
          <w:b/>
          <w:bCs/>
          <w:color w:val="538135" w:themeColor="accent6" w:themeShade="BF"/>
        </w:rPr>
        <w:t>improve the metrics for pharmaceutical</w:t>
      </w:r>
      <w:r w:rsidR="00E1575F">
        <w:rPr>
          <w:rFonts w:asciiTheme="minorHAnsi" w:hAnsiTheme="minorHAnsi" w:eastAsiaTheme="minorHAnsi" w:cstheme="minorBidi"/>
          <w:b/>
          <w:bCs/>
          <w:color w:val="538135" w:themeColor="accent6" w:themeShade="BF"/>
        </w:rPr>
        <w:t>s</w:t>
      </w:r>
      <w:r w:rsidRPr="00B542CC" w:rsidR="006E2722">
        <w:rPr>
          <w:rFonts w:asciiTheme="minorHAnsi" w:hAnsiTheme="minorHAnsi" w:eastAsiaTheme="minorHAnsi" w:cstheme="minorBidi"/>
          <w:b/>
          <w:bCs/>
          <w:color w:val="538135" w:themeColor="accent6" w:themeShade="BF"/>
        </w:rPr>
        <w:t xml:space="preserve">. </w:t>
      </w:r>
      <w:r w:rsidRPr="00B542CC" w:rsidR="007567DB">
        <w:rPr>
          <w:rFonts w:asciiTheme="minorHAnsi" w:hAnsiTheme="minorHAnsi" w:eastAsiaTheme="minorHAnsi" w:cstheme="minorBidi"/>
          <w:b/>
          <w:bCs/>
          <w:color w:val="538135" w:themeColor="accent6" w:themeShade="BF"/>
        </w:rPr>
        <w:t xml:space="preserve">Improving the metrics and including </w:t>
      </w:r>
      <w:r w:rsidRPr="00B542CC" w:rsidR="001302E4">
        <w:rPr>
          <w:rFonts w:asciiTheme="minorHAnsi" w:hAnsiTheme="minorHAnsi" w:eastAsiaTheme="minorHAnsi" w:cstheme="minorBidi"/>
          <w:b/>
          <w:bCs/>
          <w:color w:val="538135" w:themeColor="accent6" w:themeShade="BF"/>
        </w:rPr>
        <w:t xml:space="preserve">all STH pharmaceuticals routinely used will be more representative of the </w:t>
      </w:r>
      <w:r w:rsidRPr="00B542CC" w:rsidR="006F5887">
        <w:rPr>
          <w:rFonts w:asciiTheme="minorHAnsi" w:hAnsiTheme="minorHAnsi" w:eastAsiaTheme="minorHAnsi" w:cstheme="minorBidi"/>
          <w:b/>
          <w:bCs/>
          <w:color w:val="538135" w:themeColor="accent6" w:themeShade="BF"/>
        </w:rPr>
        <w:t>carbon intensity of these p</w:t>
      </w:r>
      <w:r w:rsidR="005E14A2">
        <w:rPr>
          <w:rFonts w:asciiTheme="minorHAnsi" w:hAnsiTheme="minorHAnsi" w:eastAsiaTheme="minorHAnsi" w:cstheme="minorBidi"/>
          <w:b/>
          <w:bCs/>
          <w:color w:val="538135" w:themeColor="accent6" w:themeShade="BF"/>
        </w:rPr>
        <w:t>roducts.</w:t>
      </w:r>
      <w:r w:rsidRPr="00B542CC" w:rsidR="00F02CB4">
        <w:rPr>
          <w:rFonts w:asciiTheme="minorHAnsi" w:hAnsiTheme="minorHAnsi" w:eastAsiaTheme="minorHAnsi" w:cstheme="minorBidi"/>
          <w:b/>
          <w:bCs/>
          <w:color w:val="538135" w:themeColor="accent6" w:themeShade="BF"/>
        </w:rPr>
        <w:t xml:space="preserve"> This will then allow </w:t>
      </w:r>
      <w:r w:rsidRPr="00B542CC" w:rsidR="00394532">
        <w:rPr>
          <w:rFonts w:asciiTheme="minorHAnsi" w:hAnsiTheme="minorHAnsi" w:eastAsiaTheme="minorHAnsi" w:cstheme="minorBidi"/>
          <w:b/>
          <w:bCs/>
          <w:color w:val="538135" w:themeColor="accent6" w:themeShade="BF"/>
        </w:rPr>
        <w:t xml:space="preserve">progress </w:t>
      </w:r>
      <w:r w:rsidR="00394532">
        <w:rPr>
          <w:rFonts w:asciiTheme="minorHAnsi" w:hAnsiTheme="minorHAnsi" w:eastAsiaTheme="minorHAnsi" w:cstheme="minorBidi"/>
          <w:b/>
          <w:bCs/>
          <w:color w:val="538135" w:themeColor="accent6" w:themeShade="BF"/>
        </w:rPr>
        <w:t xml:space="preserve">with </w:t>
      </w:r>
      <w:r w:rsidRPr="00B542CC" w:rsidR="00F02CB4">
        <w:rPr>
          <w:rFonts w:asciiTheme="minorHAnsi" w:hAnsiTheme="minorHAnsi" w:eastAsiaTheme="minorHAnsi" w:cstheme="minorBidi"/>
          <w:b/>
          <w:bCs/>
          <w:color w:val="538135" w:themeColor="accent6" w:themeShade="BF"/>
        </w:rPr>
        <w:t xml:space="preserve">assessing </w:t>
      </w:r>
      <w:r w:rsidRPr="00B542CC" w:rsidR="00B542CC">
        <w:rPr>
          <w:rFonts w:asciiTheme="minorHAnsi" w:hAnsiTheme="minorHAnsi" w:eastAsiaTheme="minorHAnsi" w:cstheme="minorBidi"/>
          <w:b/>
          <w:bCs/>
          <w:color w:val="538135" w:themeColor="accent6" w:themeShade="BF"/>
        </w:rPr>
        <w:t xml:space="preserve">whether there are any lower carbon </w:t>
      </w:r>
      <w:r w:rsidR="00F526D7">
        <w:rPr>
          <w:rFonts w:asciiTheme="minorHAnsi" w:hAnsiTheme="minorHAnsi" w:eastAsiaTheme="minorHAnsi" w:cstheme="minorBidi"/>
          <w:b/>
          <w:bCs/>
          <w:color w:val="538135" w:themeColor="accent6" w:themeShade="BF"/>
        </w:rPr>
        <w:t>alternatives</w:t>
      </w:r>
      <w:r w:rsidRPr="00B542CC" w:rsidR="00B542CC">
        <w:rPr>
          <w:rFonts w:asciiTheme="minorHAnsi" w:hAnsiTheme="minorHAnsi" w:eastAsiaTheme="minorHAnsi" w:cstheme="minorBidi"/>
          <w:b/>
          <w:bCs/>
          <w:color w:val="538135" w:themeColor="accent6" w:themeShade="BF"/>
        </w:rPr>
        <w:t xml:space="preserve"> that STH could use</w:t>
      </w:r>
      <w:r w:rsidR="00B542CC">
        <w:t>.</w:t>
      </w:r>
    </w:p>
    <w:p w:rsidRPr="00607643" w:rsidR="007567DB" w:rsidP="007567DB" w:rsidRDefault="007567DB" w14:paraId="409361EB" w14:textId="77777777">
      <w:pPr>
        <w:pStyle w:val="ListParagraph"/>
        <w:ind w:left="1080"/>
      </w:pPr>
    </w:p>
    <w:p w:rsidRPr="00867ECE" w:rsidR="00D623BE" w:rsidP="00FD0F85" w:rsidRDefault="00D623BE" w14:paraId="52A5C266" w14:textId="5EF8D847">
      <w:pPr>
        <w:pStyle w:val="ListParagraph"/>
        <w:numPr>
          <w:ilvl w:val="1"/>
          <w:numId w:val="30"/>
        </w:numPr>
        <w:ind w:left="1134" w:hanging="708"/>
        <w:rPr>
          <w:b/>
          <w:bCs/>
          <w:color w:val="538135" w:themeColor="accent6" w:themeShade="BF"/>
          <w:sz w:val="24"/>
          <w:szCs w:val="24"/>
        </w:rPr>
      </w:pPr>
      <w:r w:rsidRPr="00867ECE">
        <w:rPr>
          <w:b/>
          <w:bCs/>
          <w:color w:val="538135" w:themeColor="accent6" w:themeShade="BF"/>
          <w:sz w:val="24"/>
          <w:szCs w:val="24"/>
        </w:rPr>
        <w:t>Consumables data</w:t>
      </w:r>
    </w:p>
    <w:p w:rsidR="00A71FAA" w:rsidP="00E13875" w:rsidRDefault="00E24D99" w14:paraId="3B0BFD77" w14:textId="44E76E37">
      <w:pPr>
        <w:ind w:left="360"/>
      </w:pPr>
      <w:r w:rsidRPr="003266B1">
        <w:t>The consumable</w:t>
      </w:r>
      <w:r w:rsidR="00A108B4">
        <w:t>’</w:t>
      </w:r>
      <w:r w:rsidRPr="003266B1">
        <w:t xml:space="preserve">s data was </w:t>
      </w:r>
      <w:r w:rsidRPr="003266B1" w:rsidR="00547C1E">
        <w:t>collected using</w:t>
      </w:r>
      <w:r w:rsidRPr="003266B1" w:rsidR="00F86C07">
        <w:t xml:space="preserve"> a ward stock inventory and orders placed vi</w:t>
      </w:r>
      <w:r w:rsidRPr="003266B1" w:rsidR="00212E4D">
        <w:t>a</w:t>
      </w:r>
      <w:r w:rsidRPr="003266B1" w:rsidR="00547C1E">
        <w:t xml:space="preserve"> the cost centres for Renal Unit G, Peter </w:t>
      </w:r>
      <w:r w:rsidRPr="003266B1" w:rsidR="00CF55CD">
        <w:t>Moorhead</w:t>
      </w:r>
      <w:r w:rsidRPr="003266B1" w:rsidR="00547C1E">
        <w:t xml:space="preserve"> Unit and Vickers 1.</w:t>
      </w:r>
    </w:p>
    <w:tbl>
      <w:tblPr>
        <w:tblW w:w="7760" w:type="dxa"/>
        <w:jc w:val="center"/>
        <w:tblCellMar>
          <w:top w:w="15" w:type="dxa"/>
          <w:bottom w:w="15" w:type="dxa"/>
        </w:tblCellMar>
        <w:tblLook w:val="04A0" w:firstRow="1" w:lastRow="0" w:firstColumn="1" w:lastColumn="0" w:noHBand="0" w:noVBand="1"/>
      </w:tblPr>
      <w:tblGrid>
        <w:gridCol w:w="2580"/>
        <w:gridCol w:w="1720"/>
        <w:gridCol w:w="1360"/>
        <w:gridCol w:w="960"/>
        <w:gridCol w:w="1140"/>
      </w:tblGrid>
      <w:tr w:rsidRPr="00AA1B04" w:rsidR="00AA1B04" w:rsidTr="00153AFC" w14:paraId="7FD0D232" w14:textId="77777777">
        <w:trPr>
          <w:trHeight w:val="300"/>
          <w:jc w:val="center"/>
        </w:trPr>
        <w:tc>
          <w:tcPr>
            <w:tcW w:w="2580" w:type="dxa"/>
            <w:tcBorders>
              <w:top w:val="single" w:color="000000" w:sz="8" w:space="0"/>
              <w:left w:val="single" w:color="000000" w:sz="8" w:space="0"/>
              <w:bottom w:val="single" w:color="000000" w:sz="8" w:space="0"/>
              <w:right w:val="single" w:color="000000" w:sz="8" w:space="0"/>
            </w:tcBorders>
            <w:shd w:val="clear" w:color="auto" w:fill="002060"/>
            <w:noWrap/>
            <w:vAlign w:val="bottom"/>
            <w:hideMark/>
          </w:tcPr>
          <w:p w:rsidRPr="00AA1B04" w:rsidR="00AA1B04" w:rsidP="00AA1B04" w:rsidRDefault="00AA1B04" w14:paraId="7445E933"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Reference numbers</w:t>
            </w:r>
          </w:p>
        </w:tc>
        <w:tc>
          <w:tcPr>
            <w:tcW w:w="1720" w:type="dxa"/>
            <w:tcBorders>
              <w:top w:val="single" w:color="000000" w:sz="8" w:space="0"/>
              <w:left w:val="nil"/>
              <w:bottom w:val="single" w:color="000000" w:sz="8" w:space="0"/>
              <w:right w:val="single" w:color="000000" w:sz="8" w:space="0"/>
            </w:tcBorders>
            <w:shd w:val="clear" w:color="auto" w:fill="002060"/>
            <w:noWrap/>
            <w:vAlign w:val="bottom"/>
            <w:hideMark/>
          </w:tcPr>
          <w:p w:rsidRPr="00AA1B04" w:rsidR="00AA1B04" w:rsidP="00AA1B04" w:rsidRDefault="00AA1B04" w14:paraId="391035F4" w14:textId="77777777">
            <w:pPr>
              <w:spacing w:after="0" w:line="240" w:lineRule="auto"/>
              <w:rPr>
                <w:rFonts w:ascii="Calibri" w:hAnsi="Calibri" w:eastAsia="Times New Roman" w:cs="Calibri"/>
                <w:color w:val="FFFFFF" w:themeColor="background1"/>
                <w:lang w:eastAsia="en-GB"/>
              </w:rPr>
            </w:pPr>
          </w:p>
        </w:tc>
        <w:tc>
          <w:tcPr>
            <w:tcW w:w="1360" w:type="dxa"/>
            <w:tcBorders>
              <w:top w:val="single" w:color="000000" w:sz="8" w:space="0"/>
              <w:left w:val="nil"/>
              <w:bottom w:val="single" w:color="000000" w:sz="8" w:space="0"/>
              <w:right w:val="single" w:color="000000" w:sz="8" w:space="0"/>
            </w:tcBorders>
            <w:shd w:val="clear" w:color="auto" w:fill="002060"/>
            <w:noWrap/>
            <w:vAlign w:val="bottom"/>
            <w:hideMark/>
          </w:tcPr>
          <w:p w:rsidRPr="00AA1B04" w:rsidR="00AA1B04" w:rsidP="00AA1B04" w:rsidRDefault="00AA1B04" w14:paraId="3DF295C0" w14:textId="77777777">
            <w:pPr>
              <w:spacing w:after="0" w:line="240" w:lineRule="auto"/>
              <w:jc w:val="center"/>
              <w:rPr>
                <w:rFonts w:ascii="Times New Roman" w:hAnsi="Times New Roman" w:eastAsia="Times New Roman" w:cs="Times New Roman"/>
                <w:color w:val="FFFFFF" w:themeColor="background1"/>
                <w:sz w:val="20"/>
                <w:szCs w:val="20"/>
                <w:lang w:eastAsia="en-GB"/>
              </w:rPr>
            </w:pPr>
          </w:p>
        </w:tc>
        <w:tc>
          <w:tcPr>
            <w:tcW w:w="960" w:type="dxa"/>
            <w:tcBorders>
              <w:top w:val="single" w:color="000000" w:sz="8" w:space="0"/>
              <w:left w:val="nil"/>
              <w:bottom w:val="single" w:color="000000" w:sz="8" w:space="0"/>
              <w:right w:val="single" w:color="000000" w:sz="8" w:space="0"/>
            </w:tcBorders>
            <w:shd w:val="clear" w:color="auto" w:fill="002060"/>
            <w:noWrap/>
            <w:vAlign w:val="bottom"/>
            <w:hideMark/>
          </w:tcPr>
          <w:p w:rsidRPr="00AA1B04" w:rsidR="00AA1B04" w:rsidP="00AA1B04" w:rsidRDefault="00AA1B04" w14:paraId="1E67C4DD" w14:textId="77777777">
            <w:pPr>
              <w:spacing w:after="0" w:line="240" w:lineRule="auto"/>
              <w:rPr>
                <w:rFonts w:ascii="Times New Roman" w:hAnsi="Times New Roman" w:eastAsia="Times New Roman" w:cs="Times New Roman"/>
                <w:color w:val="FFFFFF" w:themeColor="background1"/>
                <w:sz w:val="20"/>
                <w:szCs w:val="20"/>
                <w:lang w:eastAsia="en-GB"/>
              </w:rPr>
            </w:pPr>
          </w:p>
        </w:tc>
        <w:tc>
          <w:tcPr>
            <w:tcW w:w="1140" w:type="dxa"/>
            <w:tcBorders>
              <w:top w:val="single" w:color="000000" w:sz="8" w:space="0"/>
              <w:left w:val="nil"/>
              <w:bottom w:val="single" w:color="000000" w:sz="8" w:space="0"/>
              <w:right w:val="single" w:color="000000" w:sz="8" w:space="0"/>
            </w:tcBorders>
            <w:shd w:val="clear" w:color="auto" w:fill="002060"/>
            <w:noWrap/>
            <w:vAlign w:val="bottom"/>
            <w:hideMark/>
          </w:tcPr>
          <w:p w:rsidRPr="00AA1B04" w:rsidR="00AA1B04" w:rsidP="00AA1B04" w:rsidRDefault="00AA1B04" w14:paraId="0DF80B29" w14:textId="77777777">
            <w:pPr>
              <w:spacing w:after="0" w:line="240" w:lineRule="auto"/>
              <w:rPr>
                <w:rFonts w:ascii="Times New Roman" w:hAnsi="Times New Roman" w:eastAsia="Times New Roman" w:cs="Times New Roman"/>
                <w:color w:val="FFFFFF" w:themeColor="background1"/>
                <w:sz w:val="20"/>
                <w:szCs w:val="20"/>
                <w:lang w:eastAsia="en-GB"/>
              </w:rPr>
            </w:pPr>
          </w:p>
        </w:tc>
      </w:tr>
      <w:tr w:rsidRPr="00AA1B04" w:rsidR="00AA1B04" w:rsidTr="00153AFC" w14:paraId="48994D3C" w14:textId="77777777">
        <w:trPr>
          <w:trHeight w:val="300"/>
          <w:jc w:val="center"/>
        </w:trPr>
        <w:tc>
          <w:tcPr>
            <w:tcW w:w="2580" w:type="dxa"/>
            <w:tcBorders>
              <w:top w:val="nil"/>
              <w:left w:val="single" w:color="000000" w:sz="8" w:space="0"/>
              <w:bottom w:val="single" w:color="000000" w:sz="8" w:space="0"/>
              <w:right w:val="single" w:color="000000" w:sz="8" w:space="0"/>
            </w:tcBorders>
            <w:shd w:val="clear" w:color="auto" w:fill="002060"/>
            <w:noWrap/>
            <w:vAlign w:val="bottom"/>
            <w:hideMark/>
          </w:tcPr>
          <w:p w:rsidRPr="00AA1B04" w:rsidR="00AA1B04" w:rsidP="00AA1B04" w:rsidRDefault="00AA1B04" w14:paraId="091CD21C"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NEEDLES</w:t>
            </w:r>
          </w:p>
        </w:tc>
        <w:tc>
          <w:tcPr>
            <w:tcW w:w="1720" w:type="dxa"/>
            <w:tcBorders>
              <w:top w:val="nil"/>
              <w:left w:val="nil"/>
              <w:bottom w:val="single" w:color="000000" w:sz="8" w:space="0"/>
              <w:right w:val="single" w:color="000000" w:sz="8" w:space="0"/>
            </w:tcBorders>
            <w:shd w:val="clear" w:color="auto" w:fill="002060"/>
            <w:noWrap/>
            <w:vAlign w:val="bottom"/>
            <w:hideMark/>
          </w:tcPr>
          <w:p w:rsidRPr="00AA1B04" w:rsidR="00AA1B04" w:rsidP="00AA1B04" w:rsidRDefault="00AA1B04" w14:paraId="31B53F16"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DIALYSER</w:t>
            </w:r>
          </w:p>
        </w:tc>
        <w:tc>
          <w:tcPr>
            <w:tcW w:w="1360" w:type="dxa"/>
            <w:tcBorders>
              <w:top w:val="nil"/>
              <w:left w:val="nil"/>
              <w:bottom w:val="single" w:color="000000" w:sz="8" w:space="0"/>
              <w:right w:val="single" w:color="000000" w:sz="8" w:space="0"/>
            </w:tcBorders>
            <w:shd w:val="clear" w:color="auto" w:fill="002060"/>
            <w:noWrap/>
            <w:vAlign w:val="bottom"/>
            <w:hideMark/>
          </w:tcPr>
          <w:p w:rsidRPr="00AA1B04" w:rsidR="00AA1B04" w:rsidP="00AA1B04" w:rsidRDefault="00AA1B04" w14:paraId="1141EA57"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BLOODLINES</w:t>
            </w:r>
          </w:p>
        </w:tc>
        <w:tc>
          <w:tcPr>
            <w:tcW w:w="960" w:type="dxa"/>
            <w:tcBorders>
              <w:top w:val="nil"/>
              <w:left w:val="nil"/>
              <w:bottom w:val="single" w:color="000000" w:sz="8" w:space="0"/>
              <w:right w:val="single" w:color="000000" w:sz="8" w:space="0"/>
            </w:tcBorders>
            <w:shd w:val="clear" w:color="auto" w:fill="002060"/>
            <w:noWrap/>
            <w:vAlign w:val="bottom"/>
            <w:hideMark/>
          </w:tcPr>
          <w:p w:rsidRPr="00AA1B04" w:rsidR="00AA1B04" w:rsidP="00AA1B04" w:rsidRDefault="00AA1B04" w14:paraId="28C7B9B0"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GLOVES</w:t>
            </w:r>
          </w:p>
        </w:tc>
        <w:tc>
          <w:tcPr>
            <w:tcW w:w="1140" w:type="dxa"/>
            <w:tcBorders>
              <w:top w:val="nil"/>
              <w:left w:val="nil"/>
              <w:bottom w:val="single" w:color="000000" w:sz="8" w:space="0"/>
              <w:right w:val="single" w:color="000000" w:sz="8" w:space="0"/>
            </w:tcBorders>
            <w:shd w:val="clear" w:color="auto" w:fill="002060"/>
            <w:noWrap/>
            <w:vAlign w:val="bottom"/>
            <w:hideMark/>
          </w:tcPr>
          <w:p w:rsidRPr="00AA1B04" w:rsidR="00AA1B04" w:rsidP="00AA1B04" w:rsidRDefault="00AA1B04" w14:paraId="112B639E" w14:textId="77777777">
            <w:pPr>
              <w:spacing w:after="0" w:line="240" w:lineRule="auto"/>
              <w:rPr>
                <w:rFonts w:ascii="Calibri" w:hAnsi="Calibri" w:eastAsia="Times New Roman" w:cs="Calibri"/>
                <w:color w:val="FFFFFF" w:themeColor="background1"/>
                <w:lang w:eastAsia="en-GB"/>
              </w:rPr>
            </w:pPr>
            <w:r w:rsidRPr="00AA1B04">
              <w:rPr>
                <w:rFonts w:ascii="Calibri" w:hAnsi="Calibri" w:eastAsia="Times New Roman" w:cs="Calibri"/>
                <w:color w:val="FFFFFF" w:themeColor="background1"/>
                <w:lang w:eastAsia="en-GB"/>
              </w:rPr>
              <w:t>SYRINGES</w:t>
            </w:r>
          </w:p>
        </w:tc>
      </w:tr>
      <w:tr w:rsidRPr="00AA1B04" w:rsidR="00AA1B04" w:rsidTr="00AA1B04" w14:paraId="3C100730"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3C34D069"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AV2P1525 HT 30GT</w:t>
            </w:r>
          </w:p>
        </w:tc>
        <w:tc>
          <w:tcPr>
            <w:tcW w:w="1720" w:type="dxa"/>
            <w:tcBorders>
              <w:top w:val="nil"/>
              <w:left w:val="nil"/>
              <w:bottom w:val="single" w:color="000000" w:sz="8" w:space="0"/>
              <w:right w:val="single" w:color="000000" w:sz="8" w:space="0"/>
            </w:tcBorders>
            <w:noWrap/>
            <w:vAlign w:val="bottom"/>
            <w:hideMark/>
          </w:tcPr>
          <w:p w:rsidRPr="00AA1B04" w:rsidR="00AA1B04" w:rsidP="00AA1B04" w:rsidRDefault="00AA1B04" w14:paraId="512C2F46"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F00001592</w:t>
            </w:r>
          </w:p>
        </w:tc>
        <w:tc>
          <w:tcPr>
            <w:tcW w:w="1360" w:type="dxa"/>
            <w:tcBorders>
              <w:top w:val="nil"/>
              <w:left w:val="nil"/>
              <w:bottom w:val="single" w:color="000000" w:sz="8" w:space="0"/>
              <w:right w:val="single" w:color="000000" w:sz="8" w:space="0"/>
            </w:tcBorders>
            <w:noWrap/>
            <w:vAlign w:val="bottom"/>
            <w:hideMark/>
          </w:tcPr>
          <w:p w:rsidRPr="00AA1B04" w:rsidR="00AA1B04" w:rsidP="00711458" w:rsidRDefault="00AA1B04" w14:paraId="271E762F"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7211511</w:t>
            </w: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56A8B62D"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EB201</w:t>
            </w:r>
          </w:p>
        </w:tc>
        <w:tc>
          <w:tcPr>
            <w:tcW w:w="1140" w:type="dxa"/>
            <w:tcBorders>
              <w:top w:val="nil"/>
              <w:left w:val="nil"/>
              <w:bottom w:val="single" w:color="000000" w:sz="8" w:space="0"/>
              <w:right w:val="single" w:color="000000" w:sz="8" w:space="0"/>
            </w:tcBorders>
            <w:noWrap/>
            <w:vAlign w:val="bottom"/>
            <w:hideMark/>
          </w:tcPr>
          <w:p w:rsidRPr="00AA1B04" w:rsidR="00AA1B04" w:rsidP="00AA1B04" w:rsidRDefault="00AA1B04" w14:paraId="2161B2AB"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IVL03</w:t>
            </w:r>
          </w:p>
        </w:tc>
      </w:tr>
      <w:tr w:rsidRPr="00AA1B04" w:rsidR="00AA1B04" w:rsidTr="00AA1B04" w14:paraId="3E4C2FF5"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4DF097B3"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AV1520 HTC30RGT</w:t>
            </w:r>
          </w:p>
        </w:tc>
        <w:tc>
          <w:tcPr>
            <w:tcW w:w="1720" w:type="dxa"/>
            <w:tcBorders>
              <w:top w:val="nil"/>
              <w:left w:val="nil"/>
              <w:bottom w:val="single" w:color="000000" w:sz="8" w:space="0"/>
              <w:right w:val="single" w:color="000000" w:sz="8" w:space="0"/>
            </w:tcBorders>
            <w:noWrap/>
            <w:vAlign w:val="bottom"/>
            <w:hideMark/>
          </w:tcPr>
          <w:p w:rsidRPr="00AA1B04" w:rsidR="00AA1B04" w:rsidP="00AA1B04" w:rsidRDefault="00AA1B04" w14:paraId="21F89103"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F00001590</w:t>
            </w:r>
          </w:p>
        </w:tc>
        <w:tc>
          <w:tcPr>
            <w:tcW w:w="1360" w:type="dxa"/>
            <w:tcBorders>
              <w:top w:val="nil"/>
              <w:left w:val="nil"/>
              <w:bottom w:val="single" w:color="000000" w:sz="8" w:space="0"/>
              <w:right w:val="single" w:color="000000" w:sz="8" w:space="0"/>
            </w:tcBorders>
            <w:noWrap/>
            <w:vAlign w:val="bottom"/>
            <w:hideMark/>
          </w:tcPr>
          <w:p w:rsidRPr="00AA1B04" w:rsidR="00AA1B04" w:rsidP="00711458" w:rsidRDefault="00AA1B04" w14:paraId="57DFD18B"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7211125</w:t>
            </w: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407696D7"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GS690</w:t>
            </w:r>
          </w:p>
        </w:tc>
        <w:tc>
          <w:tcPr>
            <w:tcW w:w="1140" w:type="dxa"/>
            <w:tcBorders>
              <w:top w:val="nil"/>
              <w:left w:val="nil"/>
              <w:bottom w:val="single" w:color="000000" w:sz="8" w:space="0"/>
              <w:right w:val="single" w:color="000000" w:sz="8" w:space="0"/>
            </w:tcBorders>
            <w:noWrap/>
            <w:vAlign w:val="bottom"/>
            <w:hideMark/>
          </w:tcPr>
          <w:p w:rsidRPr="00AA1B04" w:rsidR="00AA1B04" w:rsidP="00AA1B04" w:rsidRDefault="00AA1B04" w14:paraId="20858BAD"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IVL05</w:t>
            </w:r>
          </w:p>
        </w:tc>
      </w:tr>
      <w:tr w:rsidRPr="00AA1B04" w:rsidR="00AA1B04" w:rsidTr="00AA1B04" w14:paraId="40D329A4"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0BD8A81E"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AV1532HTC30RGT</w:t>
            </w:r>
          </w:p>
        </w:tc>
        <w:tc>
          <w:tcPr>
            <w:tcW w:w="1720" w:type="dxa"/>
            <w:tcBorders>
              <w:top w:val="nil"/>
              <w:left w:val="nil"/>
              <w:bottom w:val="single" w:color="000000" w:sz="8" w:space="0"/>
              <w:right w:val="single" w:color="000000" w:sz="8" w:space="0"/>
            </w:tcBorders>
            <w:noWrap/>
            <w:vAlign w:val="bottom"/>
            <w:hideMark/>
          </w:tcPr>
          <w:p w:rsidRPr="00AA1B04" w:rsidR="00AA1B04" w:rsidP="001E3FF9" w:rsidRDefault="00AA1B04" w14:paraId="11B63FC6"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7107366</w:t>
            </w:r>
          </w:p>
        </w:tc>
        <w:tc>
          <w:tcPr>
            <w:tcW w:w="1360" w:type="dxa"/>
            <w:tcBorders>
              <w:top w:val="nil"/>
              <w:left w:val="nil"/>
              <w:bottom w:val="single" w:color="000000" w:sz="8" w:space="0"/>
              <w:right w:val="single" w:color="000000" w:sz="8" w:space="0"/>
            </w:tcBorders>
            <w:noWrap/>
            <w:vAlign w:val="bottom"/>
            <w:hideMark/>
          </w:tcPr>
          <w:p w:rsidRPr="00AA1B04" w:rsidR="00AA1B04" w:rsidP="00AA1B04" w:rsidRDefault="00AA1B04" w14:paraId="17B93D3D" w14:textId="77777777">
            <w:pPr>
              <w:spacing w:after="0" w:line="240" w:lineRule="auto"/>
              <w:jc w:val="right"/>
              <w:rPr>
                <w:rFonts w:ascii="Calibri" w:hAnsi="Calibri" w:eastAsia="Times New Roman" w:cs="Calibri"/>
                <w:color w:val="000000"/>
                <w:lang w:eastAsia="en-GB"/>
              </w:rPr>
            </w:pP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386F0A61" w14:textId="77777777">
            <w:pPr>
              <w:spacing w:after="0" w:line="240" w:lineRule="auto"/>
              <w:rPr>
                <w:rFonts w:ascii="Times New Roman" w:hAnsi="Times New Roman" w:eastAsia="Times New Roman" w:cs="Times New Roman"/>
                <w:sz w:val="20"/>
                <w:szCs w:val="20"/>
                <w:lang w:eastAsia="en-GB"/>
              </w:rPr>
            </w:pPr>
          </w:p>
        </w:tc>
        <w:tc>
          <w:tcPr>
            <w:tcW w:w="1140" w:type="dxa"/>
            <w:tcBorders>
              <w:top w:val="nil"/>
              <w:left w:val="nil"/>
              <w:bottom w:val="single" w:color="000000" w:sz="8" w:space="0"/>
              <w:right w:val="single" w:color="000000" w:sz="8" w:space="0"/>
            </w:tcBorders>
            <w:noWrap/>
            <w:vAlign w:val="bottom"/>
            <w:hideMark/>
          </w:tcPr>
          <w:p w:rsidRPr="00AA1B04" w:rsidR="00AA1B04" w:rsidP="00711458" w:rsidRDefault="00AA1B04" w14:paraId="16EDEE14"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305959</w:t>
            </w:r>
          </w:p>
        </w:tc>
      </w:tr>
      <w:tr w:rsidRPr="00AA1B04" w:rsidR="00AA1B04" w:rsidTr="00AA1B04" w14:paraId="6C87B4DB"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7FF15124"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SGN1525HTC15RBGT</w:t>
            </w:r>
          </w:p>
        </w:tc>
        <w:tc>
          <w:tcPr>
            <w:tcW w:w="1720" w:type="dxa"/>
            <w:tcBorders>
              <w:top w:val="nil"/>
              <w:left w:val="nil"/>
              <w:bottom w:val="single" w:color="000000" w:sz="8" w:space="0"/>
              <w:right w:val="single" w:color="000000" w:sz="8" w:space="0"/>
            </w:tcBorders>
            <w:noWrap/>
            <w:vAlign w:val="bottom"/>
            <w:hideMark/>
          </w:tcPr>
          <w:p w:rsidRPr="00AA1B04" w:rsidR="00AA1B04" w:rsidP="00AA1B04" w:rsidRDefault="00AA1B04" w14:paraId="67C2C6BD"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F00001594</w:t>
            </w:r>
          </w:p>
        </w:tc>
        <w:tc>
          <w:tcPr>
            <w:tcW w:w="1360" w:type="dxa"/>
            <w:tcBorders>
              <w:top w:val="nil"/>
              <w:left w:val="nil"/>
              <w:bottom w:val="single" w:color="000000" w:sz="8" w:space="0"/>
              <w:right w:val="single" w:color="000000" w:sz="8" w:space="0"/>
            </w:tcBorders>
            <w:noWrap/>
            <w:vAlign w:val="bottom"/>
            <w:hideMark/>
          </w:tcPr>
          <w:p w:rsidRPr="00AA1B04" w:rsidR="00AA1B04" w:rsidP="00AA1B04" w:rsidRDefault="00AA1B04" w14:paraId="364F39D2" w14:textId="77777777">
            <w:pPr>
              <w:spacing w:after="0" w:line="240" w:lineRule="auto"/>
              <w:rPr>
                <w:rFonts w:ascii="Calibri" w:hAnsi="Calibri" w:eastAsia="Times New Roman" w:cs="Calibri"/>
                <w:color w:val="000000"/>
                <w:lang w:eastAsia="en-GB"/>
              </w:rPr>
            </w:pP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1869FC1E" w14:textId="77777777">
            <w:pPr>
              <w:spacing w:after="0" w:line="240" w:lineRule="auto"/>
              <w:rPr>
                <w:rFonts w:ascii="Times New Roman" w:hAnsi="Times New Roman" w:eastAsia="Times New Roman" w:cs="Times New Roman"/>
                <w:sz w:val="20"/>
                <w:szCs w:val="20"/>
                <w:lang w:eastAsia="en-GB"/>
              </w:rPr>
            </w:pPr>
          </w:p>
        </w:tc>
        <w:tc>
          <w:tcPr>
            <w:tcW w:w="1140" w:type="dxa"/>
            <w:tcBorders>
              <w:top w:val="nil"/>
              <w:left w:val="nil"/>
              <w:bottom w:val="single" w:color="000000" w:sz="8" w:space="0"/>
              <w:right w:val="single" w:color="000000" w:sz="8" w:space="0"/>
            </w:tcBorders>
            <w:noWrap/>
            <w:vAlign w:val="bottom"/>
            <w:hideMark/>
          </w:tcPr>
          <w:p w:rsidRPr="00AA1B04" w:rsidR="00AA1B04" w:rsidP="00711458" w:rsidRDefault="00AA1B04" w14:paraId="34F9C1AC"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300629</w:t>
            </w:r>
          </w:p>
        </w:tc>
      </w:tr>
      <w:tr w:rsidRPr="00AA1B04" w:rsidR="00AA1B04" w:rsidTr="00AA1B04" w14:paraId="4181DB36"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2D321971"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7023256NP</w:t>
            </w:r>
          </w:p>
        </w:tc>
        <w:tc>
          <w:tcPr>
            <w:tcW w:w="1720" w:type="dxa"/>
            <w:tcBorders>
              <w:top w:val="nil"/>
              <w:left w:val="nil"/>
              <w:bottom w:val="single" w:color="000000" w:sz="8" w:space="0"/>
              <w:right w:val="single" w:color="000000" w:sz="8" w:space="0"/>
            </w:tcBorders>
            <w:noWrap/>
            <w:vAlign w:val="bottom"/>
            <w:hideMark/>
          </w:tcPr>
          <w:p w:rsidRPr="00AA1B04" w:rsidR="00AA1B04" w:rsidP="00AA1B04" w:rsidRDefault="00AA1B04" w14:paraId="7606BC78"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F00001591</w:t>
            </w:r>
          </w:p>
        </w:tc>
        <w:tc>
          <w:tcPr>
            <w:tcW w:w="1360" w:type="dxa"/>
            <w:tcBorders>
              <w:top w:val="nil"/>
              <w:left w:val="nil"/>
              <w:bottom w:val="single" w:color="000000" w:sz="8" w:space="0"/>
              <w:right w:val="single" w:color="000000" w:sz="8" w:space="0"/>
            </w:tcBorders>
            <w:noWrap/>
            <w:vAlign w:val="bottom"/>
            <w:hideMark/>
          </w:tcPr>
          <w:p w:rsidRPr="00AA1B04" w:rsidR="00AA1B04" w:rsidP="00AA1B04" w:rsidRDefault="00AA1B04" w14:paraId="7B793F2D" w14:textId="77777777">
            <w:pPr>
              <w:spacing w:after="0" w:line="240" w:lineRule="auto"/>
              <w:rPr>
                <w:rFonts w:ascii="Calibri" w:hAnsi="Calibri" w:eastAsia="Times New Roman" w:cs="Calibri"/>
                <w:color w:val="000000"/>
                <w:lang w:eastAsia="en-GB"/>
              </w:rPr>
            </w:pP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75799DA7" w14:textId="77777777">
            <w:pPr>
              <w:spacing w:after="0" w:line="240" w:lineRule="auto"/>
              <w:rPr>
                <w:rFonts w:ascii="Times New Roman" w:hAnsi="Times New Roman" w:eastAsia="Times New Roman" w:cs="Times New Roman"/>
                <w:sz w:val="20"/>
                <w:szCs w:val="20"/>
                <w:lang w:eastAsia="en-GB"/>
              </w:rPr>
            </w:pPr>
          </w:p>
        </w:tc>
        <w:tc>
          <w:tcPr>
            <w:tcW w:w="1140" w:type="dxa"/>
            <w:tcBorders>
              <w:top w:val="nil"/>
              <w:left w:val="nil"/>
              <w:bottom w:val="single" w:color="000000" w:sz="8" w:space="0"/>
              <w:right w:val="single" w:color="000000" w:sz="8" w:space="0"/>
            </w:tcBorders>
            <w:noWrap/>
            <w:vAlign w:val="bottom"/>
            <w:hideMark/>
          </w:tcPr>
          <w:p w:rsidRPr="00AA1B04" w:rsidR="00AA1B04" w:rsidP="00711458" w:rsidRDefault="00AA1B04" w14:paraId="55A1F6B2"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300865</w:t>
            </w:r>
          </w:p>
        </w:tc>
      </w:tr>
      <w:tr w:rsidRPr="00AA1B04" w:rsidR="00AA1B04" w:rsidTr="00AA1B04" w14:paraId="002315B2" w14:textId="77777777">
        <w:trPr>
          <w:trHeight w:val="300"/>
          <w:jc w:val="center"/>
        </w:trPr>
        <w:tc>
          <w:tcPr>
            <w:tcW w:w="2580" w:type="dxa"/>
            <w:tcBorders>
              <w:top w:val="nil"/>
              <w:left w:val="single" w:color="000000" w:sz="8" w:space="0"/>
              <w:bottom w:val="single" w:color="000000" w:sz="8" w:space="0"/>
              <w:right w:val="single" w:color="000000" w:sz="8" w:space="0"/>
            </w:tcBorders>
            <w:noWrap/>
            <w:vAlign w:val="bottom"/>
            <w:hideMark/>
          </w:tcPr>
          <w:p w:rsidRPr="00AA1B04" w:rsidR="00AA1B04" w:rsidP="00AA1B04" w:rsidRDefault="00AA1B04" w14:paraId="2DC38A93" w14:textId="77777777">
            <w:pPr>
              <w:spacing w:after="0" w:line="240" w:lineRule="auto"/>
              <w:rPr>
                <w:rFonts w:ascii="Calibri" w:hAnsi="Calibri" w:eastAsia="Times New Roman" w:cs="Calibri"/>
                <w:color w:val="000000"/>
                <w:lang w:eastAsia="en-GB"/>
              </w:rPr>
            </w:pPr>
            <w:r w:rsidRPr="00AA1B04">
              <w:rPr>
                <w:rFonts w:ascii="Calibri" w:hAnsi="Calibri" w:eastAsia="Times New Roman" w:cs="Calibri"/>
                <w:color w:val="000000"/>
                <w:lang w:eastAsia="en-GB"/>
              </w:rPr>
              <w:t>AV1720HTC15RGT</w:t>
            </w:r>
          </w:p>
        </w:tc>
        <w:tc>
          <w:tcPr>
            <w:tcW w:w="1720" w:type="dxa"/>
            <w:tcBorders>
              <w:top w:val="nil"/>
              <w:left w:val="nil"/>
              <w:bottom w:val="single" w:color="000000" w:sz="8" w:space="0"/>
              <w:right w:val="single" w:color="000000" w:sz="8" w:space="0"/>
            </w:tcBorders>
            <w:noWrap/>
            <w:vAlign w:val="bottom"/>
            <w:hideMark/>
          </w:tcPr>
          <w:p w:rsidRPr="00AA1B04" w:rsidR="00AA1B04" w:rsidP="00AA1B04" w:rsidRDefault="00AA1B04" w14:paraId="41A7E8B8" w14:textId="77777777">
            <w:pPr>
              <w:spacing w:after="0" w:line="240" w:lineRule="auto"/>
              <w:rPr>
                <w:rFonts w:ascii="Calibri" w:hAnsi="Calibri" w:eastAsia="Times New Roman" w:cs="Calibri"/>
                <w:color w:val="000000"/>
                <w:lang w:eastAsia="en-GB"/>
              </w:rPr>
            </w:pPr>
          </w:p>
        </w:tc>
        <w:tc>
          <w:tcPr>
            <w:tcW w:w="1360" w:type="dxa"/>
            <w:tcBorders>
              <w:top w:val="nil"/>
              <w:left w:val="nil"/>
              <w:bottom w:val="single" w:color="000000" w:sz="8" w:space="0"/>
              <w:right w:val="single" w:color="000000" w:sz="8" w:space="0"/>
            </w:tcBorders>
            <w:noWrap/>
            <w:vAlign w:val="bottom"/>
            <w:hideMark/>
          </w:tcPr>
          <w:p w:rsidRPr="00AA1B04" w:rsidR="00AA1B04" w:rsidP="00AA1B04" w:rsidRDefault="00AA1B04" w14:paraId="6197A0FA"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single" w:color="000000" w:sz="8" w:space="0"/>
              <w:right w:val="single" w:color="000000" w:sz="8" w:space="0"/>
            </w:tcBorders>
            <w:noWrap/>
            <w:vAlign w:val="bottom"/>
            <w:hideMark/>
          </w:tcPr>
          <w:p w:rsidRPr="00AA1B04" w:rsidR="00AA1B04" w:rsidP="00AA1B04" w:rsidRDefault="00AA1B04" w14:paraId="11077143" w14:textId="77777777">
            <w:pPr>
              <w:spacing w:after="0" w:line="240" w:lineRule="auto"/>
              <w:rPr>
                <w:rFonts w:ascii="Times New Roman" w:hAnsi="Times New Roman" w:eastAsia="Times New Roman" w:cs="Times New Roman"/>
                <w:sz w:val="20"/>
                <w:szCs w:val="20"/>
                <w:lang w:eastAsia="en-GB"/>
              </w:rPr>
            </w:pPr>
          </w:p>
        </w:tc>
        <w:tc>
          <w:tcPr>
            <w:tcW w:w="1140" w:type="dxa"/>
            <w:tcBorders>
              <w:top w:val="nil"/>
              <w:left w:val="nil"/>
              <w:bottom w:val="single" w:color="000000" w:sz="8" w:space="0"/>
              <w:right w:val="single" w:color="000000" w:sz="8" w:space="0"/>
            </w:tcBorders>
            <w:noWrap/>
            <w:vAlign w:val="bottom"/>
            <w:hideMark/>
          </w:tcPr>
          <w:p w:rsidRPr="00AA1B04" w:rsidR="00AA1B04" w:rsidP="00711458" w:rsidRDefault="00AA1B04" w14:paraId="6590D408" w14:textId="77777777">
            <w:pPr>
              <w:spacing w:after="0" w:line="240" w:lineRule="auto"/>
              <w:rPr>
                <w:rFonts w:ascii="Times New Roman" w:hAnsi="Times New Roman" w:eastAsia="Times New Roman" w:cs="Times New Roman"/>
                <w:sz w:val="20"/>
                <w:szCs w:val="20"/>
                <w:lang w:eastAsia="en-GB"/>
              </w:rPr>
            </w:pPr>
          </w:p>
        </w:tc>
      </w:tr>
    </w:tbl>
    <w:p w:rsidRPr="003266B1" w:rsidR="00A108B4" w:rsidP="00911C15" w:rsidRDefault="00A108B4" w14:paraId="36F23182" w14:textId="77777777"/>
    <w:tbl>
      <w:tblPr>
        <w:tblW w:w="4500" w:type="dxa"/>
        <w:jc w:val="center"/>
        <w:tblLook w:val="04A0" w:firstRow="1" w:lastRow="0" w:firstColumn="1" w:lastColumn="0" w:noHBand="0" w:noVBand="1"/>
      </w:tblPr>
      <w:tblGrid>
        <w:gridCol w:w="3280"/>
        <w:gridCol w:w="1220"/>
      </w:tblGrid>
      <w:tr w:rsidRPr="001E3FF9" w:rsidR="001E3FF9" w:rsidTr="00153AFC" w14:paraId="1B249DB3" w14:textId="77777777">
        <w:trPr>
          <w:trHeight w:val="300"/>
          <w:jc w:val="center"/>
        </w:trPr>
        <w:tc>
          <w:tcPr>
            <w:tcW w:w="3280" w:type="dxa"/>
            <w:tcBorders>
              <w:top w:val="single" w:color="auto" w:sz="8" w:space="0"/>
              <w:left w:val="single" w:color="auto" w:sz="8" w:space="0"/>
              <w:bottom w:val="single" w:color="auto" w:sz="4" w:space="0"/>
              <w:right w:val="single" w:color="auto" w:sz="4" w:space="0"/>
            </w:tcBorders>
            <w:shd w:val="clear" w:color="auto" w:fill="002060"/>
            <w:noWrap/>
            <w:vAlign w:val="center"/>
            <w:hideMark/>
          </w:tcPr>
          <w:p w:rsidRPr="001E3FF9" w:rsidR="001E3FF9" w:rsidP="001E3FF9" w:rsidRDefault="001E3FF9" w14:paraId="7D3CDDE3" w14:textId="77777777">
            <w:pPr>
              <w:spacing w:after="0" w:line="240" w:lineRule="auto"/>
              <w:rPr>
                <w:rFonts w:ascii="Calibri" w:hAnsi="Calibri" w:eastAsia="Times New Roman" w:cs="Calibri"/>
                <w:color w:val="FFFFFF" w:themeColor="background1"/>
                <w:lang w:eastAsia="en-GB"/>
              </w:rPr>
            </w:pPr>
            <w:r w:rsidRPr="001E3FF9">
              <w:rPr>
                <w:rFonts w:ascii="Calibri" w:hAnsi="Calibri" w:eastAsia="Times New Roman" w:cs="Calibri"/>
                <w:color w:val="FFFFFF" w:themeColor="background1"/>
                <w:lang w:eastAsia="en-GB"/>
              </w:rPr>
              <w:lastRenderedPageBreak/>
              <w:t>Consumables</w:t>
            </w:r>
          </w:p>
        </w:tc>
        <w:tc>
          <w:tcPr>
            <w:tcW w:w="1220" w:type="dxa"/>
            <w:tcBorders>
              <w:top w:val="single" w:color="auto" w:sz="8" w:space="0"/>
              <w:left w:val="nil"/>
              <w:bottom w:val="single" w:color="auto" w:sz="4" w:space="0"/>
              <w:right w:val="single" w:color="auto" w:sz="8" w:space="0"/>
            </w:tcBorders>
            <w:shd w:val="clear" w:color="auto" w:fill="002060"/>
            <w:noWrap/>
            <w:vAlign w:val="center"/>
            <w:hideMark/>
          </w:tcPr>
          <w:p w:rsidRPr="001E3FF9" w:rsidR="001E3FF9" w:rsidP="001E3FF9" w:rsidRDefault="001E3FF9" w14:paraId="231942CE" w14:textId="77777777">
            <w:pPr>
              <w:spacing w:after="0" w:line="240" w:lineRule="auto"/>
              <w:jc w:val="right"/>
              <w:rPr>
                <w:rFonts w:ascii="Calibri" w:hAnsi="Calibri" w:eastAsia="Times New Roman" w:cs="Calibri"/>
                <w:color w:val="FFFFFF" w:themeColor="background1"/>
                <w:lang w:eastAsia="en-GB"/>
              </w:rPr>
            </w:pPr>
            <w:r w:rsidRPr="001E3FF9">
              <w:rPr>
                <w:rFonts w:ascii="Calibri" w:hAnsi="Calibri" w:eastAsia="Times New Roman" w:cs="Calibri"/>
                <w:color w:val="FFFFFF" w:themeColor="background1"/>
                <w:lang w:eastAsia="en-GB"/>
              </w:rPr>
              <w:t>kgCO2e</w:t>
            </w:r>
          </w:p>
        </w:tc>
      </w:tr>
      <w:tr w:rsidRPr="001E3FF9" w:rsidR="001E3FF9" w:rsidTr="001E3FF9" w14:paraId="4E9B2834" w14:textId="77777777">
        <w:trPr>
          <w:trHeight w:val="300"/>
          <w:jc w:val="center"/>
        </w:trPr>
        <w:tc>
          <w:tcPr>
            <w:tcW w:w="3280" w:type="dxa"/>
            <w:tcBorders>
              <w:top w:val="nil"/>
              <w:left w:val="single" w:color="auto" w:sz="8" w:space="0"/>
              <w:bottom w:val="single" w:color="auto" w:sz="4" w:space="0"/>
              <w:right w:val="single" w:color="auto" w:sz="4" w:space="0"/>
            </w:tcBorders>
            <w:shd w:val="clear" w:color="auto" w:fill="auto"/>
            <w:noWrap/>
            <w:vAlign w:val="center"/>
            <w:hideMark/>
          </w:tcPr>
          <w:p w:rsidRPr="001E3FF9" w:rsidR="001E3FF9" w:rsidP="001E3FF9" w:rsidRDefault="001E3FF9" w14:paraId="66C28CBB" w14:textId="77777777">
            <w:pPr>
              <w:spacing w:after="0" w:line="240" w:lineRule="auto"/>
              <w:rPr>
                <w:rFonts w:ascii="Calibri" w:hAnsi="Calibri" w:eastAsia="Times New Roman" w:cs="Calibri"/>
                <w:color w:val="000000"/>
                <w:lang w:eastAsia="en-GB"/>
              </w:rPr>
            </w:pPr>
            <w:r w:rsidRPr="001E3FF9">
              <w:rPr>
                <w:rFonts w:ascii="Calibri" w:hAnsi="Calibri" w:eastAsia="Times New Roman" w:cs="Calibri"/>
                <w:color w:val="000000"/>
                <w:lang w:eastAsia="en-GB"/>
              </w:rPr>
              <w:t>Average Dialysers</w:t>
            </w:r>
          </w:p>
        </w:tc>
        <w:tc>
          <w:tcPr>
            <w:tcW w:w="1220" w:type="dxa"/>
            <w:tcBorders>
              <w:top w:val="nil"/>
              <w:left w:val="nil"/>
              <w:bottom w:val="single" w:color="auto" w:sz="4" w:space="0"/>
              <w:right w:val="single" w:color="auto" w:sz="8" w:space="0"/>
            </w:tcBorders>
            <w:shd w:val="clear" w:color="auto" w:fill="auto"/>
            <w:noWrap/>
            <w:vAlign w:val="center"/>
            <w:hideMark/>
          </w:tcPr>
          <w:p w:rsidRPr="001E3FF9" w:rsidR="001E3FF9" w:rsidP="001E3FF9" w:rsidRDefault="001E3FF9" w14:paraId="509DBE52" w14:textId="77777777">
            <w:pPr>
              <w:spacing w:after="0" w:line="240" w:lineRule="auto"/>
              <w:jc w:val="right"/>
              <w:rPr>
                <w:rFonts w:ascii="Calibri" w:hAnsi="Calibri" w:eastAsia="Times New Roman" w:cs="Calibri"/>
                <w:color w:val="000000"/>
                <w:lang w:eastAsia="en-GB"/>
              </w:rPr>
            </w:pPr>
            <w:r w:rsidRPr="001E3FF9">
              <w:rPr>
                <w:rFonts w:ascii="Calibri" w:hAnsi="Calibri" w:eastAsia="Times New Roman" w:cs="Calibri"/>
                <w:color w:val="000000"/>
                <w:lang w:eastAsia="en-GB"/>
              </w:rPr>
              <w:t>2,000.02</w:t>
            </w:r>
          </w:p>
        </w:tc>
      </w:tr>
      <w:tr w:rsidRPr="001E3FF9" w:rsidR="001E3FF9" w:rsidTr="001E3FF9" w14:paraId="34C3DFE5" w14:textId="77777777">
        <w:trPr>
          <w:trHeight w:val="300"/>
          <w:jc w:val="center"/>
        </w:trPr>
        <w:tc>
          <w:tcPr>
            <w:tcW w:w="3280" w:type="dxa"/>
            <w:tcBorders>
              <w:top w:val="nil"/>
              <w:left w:val="single" w:color="auto" w:sz="8" w:space="0"/>
              <w:bottom w:val="single" w:color="auto" w:sz="4" w:space="0"/>
              <w:right w:val="single" w:color="auto" w:sz="4" w:space="0"/>
            </w:tcBorders>
            <w:shd w:val="clear" w:color="auto" w:fill="auto"/>
            <w:noWrap/>
            <w:vAlign w:val="center"/>
            <w:hideMark/>
          </w:tcPr>
          <w:p w:rsidRPr="001E3FF9" w:rsidR="001E3FF9" w:rsidP="001E3FF9" w:rsidRDefault="001E3FF9" w14:paraId="3162399E" w14:textId="77777777">
            <w:pPr>
              <w:spacing w:after="0" w:line="240" w:lineRule="auto"/>
              <w:rPr>
                <w:rFonts w:ascii="Calibri" w:hAnsi="Calibri" w:eastAsia="Times New Roman" w:cs="Calibri"/>
                <w:color w:val="000000"/>
                <w:lang w:eastAsia="en-GB"/>
              </w:rPr>
            </w:pPr>
            <w:r w:rsidRPr="001E3FF9">
              <w:rPr>
                <w:rFonts w:ascii="Calibri" w:hAnsi="Calibri" w:eastAsia="Times New Roman" w:cs="Calibri"/>
                <w:color w:val="000000"/>
                <w:lang w:eastAsia="en-GB"/>
              </w:rPr>
              <w:t>Average Haemodialysis bloodline</w:t>
            </w:r>
          </w:p>
        </w:tc>
        <w:tc>
          <w:tcPr>
            <w:tcW w:w="1220" w:type="dxa"/>
            <w:tcBorders>
              <w:top w:val="nil"/>
              <w:left w:val="nil"/>
              <w:bottom w:val="single" w:color="auto" w:sz="4" w:space="0"/>
              <w:right w:val="single" w:color="auto" w:sz="8" w:space="0"/>
            </w:tcBorders>
            <w:shd w:val="clear" w:color="auto" w:fill="auto"/>
            <w:noWrap/>
            <w:vAlign w:val="center"/>
            <w:hideMark/>
          </w:tcPr>
          <w:p w:rsidRPr="001E3FF9" w:rsidR="001E3FF9" w:rsidP="001E3FF9" w:rsidRDefault="001E3FF9" w14:paraId="20493D5D" w14:textId="77777777">
            <w:pPr>
              <w:spacing w:after="0" w:line="240" w:lineRule="auto"/>
              <w:jc w:val="right"/>
              <w:rPr>
                <w:rFonts w:ascii="Calibri" w:hAnsi="Calibri" w:eastAsia="Times New Roman" w:cs="Calibri"/>
                <w:color w:val="000000"/>
                <w:lang w:eastAsia="en-GB"/>
              </w:rPr>
            </w:pPr>
            <w:r w:rsidRPr="001E3FF9">
              <w:rPr>
                <w:rFonts w:ascii="Calibri" w:hAnsi="Calibri" w:eastAsia="Times New Roman" w:cs="Calibri"/>
                <w:color w:val="000000"/>
                <w:lang w:eastAsia="en-GB"/>
              </w:rPr>
              <w:t>52,542.14</w:t>
            </w:r>
          </w:p>
        </w:tc>
      </w:tr>
      <w:tr w:rsidRPr="001E3FF9" w:rsidR="001E3FF9" w:rsidTr="001E3FF9" w14:paraId="34E7A609" w14:textId="77777777">
        <w:trPr>
          <w:trHeight w:val="300"/>
          <w:jc w:val="center"/>
        </w:trPr>
        <w:tc>
          <w:tcPr>
            <w:tcW w:w="3280" w:type="dxa"/>
            <w:tcBorders>
              <w:top w:val="nil"/>
              <w:left w:val="single" w:color="auto" w:sz="8" w:space="0"/>
              <w:bottom w:val="single" w:color="auto" w:sz="4" w:space="0"/>
              <w:right w:val="single" w:color="auto" w:sz="4" w:space="0"/>
            </w:tcBorders>
            <w:shd w:val="clear" w:color="auto" w:fill="auto"/>
            <w:noWrap/>
            <w:vAlign w:val="center"/>
            <w:hideMark/>
          </w:tcPr>
          <w:p w:rsidRPr="001E3FF9" w:rsidR="001E3FF9" w:rsidP="001E3FF9" w:rsidRDefault="001E3FF9" w14:paraId="59711621" w14:textId="77777777">
            <w:pPr>
              <w:spacing w:after="0" w:line="240" w:lineRule="auto"/>
              <w:rPr>
                <w:rFonts w:ascii="Calibri" w:hAnsi="Calibri" w:eastAsia="Times New Roman" w:cs="Calibri"/>
                <w:color w:val="000000"/>
                <w:lang w:eastAsia="en-GB"/>
              </w:rPr>
            </w:pPr>
            <w:r w:rsidRPr="001E3FF9">
              <w:rPr>
                <w:rFonts w:ascii="Calibri" w:hAnsi="Calibri" w:eastAsia="Times New Roman" w:cs="Calibri"/>
                <w:color w:val="000000"/>
                <w:lang w:eastAsia="en-GB"/>
              </w:rPr>
              <w:t>Average Needle</w:t>
            </w:r>
          </w:p>
        </w:tc>
        <w:tc>
          <w:tcPr>
            <w:tcW w:w="1220" w:type="dxa"/>
            <w:tcBorders>
              <w:top w:val="nil"/>
              <w:left w:val="nil"/>
              <w:bottom w:val="single" w:color="auto" w:sz="4" w:space="0"/>
              <w:right w:val="single" w:color="auto" w:sz="8" w:space="0"/>
            </w:tcBorders>
            <w:shd w:val="clear" w:color="auto" w:fill="auto"/>
            <w:noWrap/>
            <w:vAlign w:val="center"/>
            <w:hideMark/>
          </w:tcPr>
          <w:p w:rsidRPr="001E3FF9" w:rsidR="001E3FF9" w:rsidP="001E3FF9" w:rsidRDefault="001E3FF9" w14:paraId="626AC3D5" w14:textId="77777777">
            <w:pPr>
              <w:spacing w:after="0" w:line="240" w:lineRule="auto"/>
              <w:jc w:val="right"/>
              <w:rPr>
                <w:rFonts w:ascii="Calibri" w:hAnsi="Calibri" w:eastAsia="Times New Roman" w:cs="Calibri"/>
                <w:color w:val="000000"/>
                <w:lang w:eastAsia="en-GB"/>
              </w:rPr>
            </w:pPr>
            <w:r w:rsidRPr="001E3FF9">
              <w:rPr>
                <w:rFonts w:ascii="Calibri" w:hAnsi="Calibri" w:eastAsia="Times New Roman" w:cs="Calibri"/>
                <w:color w:val="000000"/>
                <w:lang w:eastAsia="en-GB"/>
              </w:rPr>
              <w:t>813.55</w:t>
            </w:r>
          </w:p>
        </w:tc>
      </w:tr>
      <w:tr w:rsidRPr="001E3FF9" w:rsidR="001E3FF9" w:rsidTr="001E3FF9" w14:paraId="62F41341" w14:textId="77777777">
        <w:trPr>
          <w:trHeight w:val="300"/>
          <w:jc w:val="center"/>
        </w:trPr>
        <w:tc>
          <w:tcPr>
            <w:tcW w:w="3280" w:type="dxa"/>
            <w:tcBorders>
              <w:top w:val="nil"/>
              <w:left w:val="single" w:color="auto" w:sz="8" w:space="0"/>
              <w:bottom w:val="single" w:color="auto" w:sz="4" w:space="0"/>
              <w:right w:val="single" w:color="auto" w:sz="4" w:space="0"/>
            </w:tcBorders>
            <w:shd w:val="clear" w:color="auto" w:fill="auto"/>
            <w:noWrap/>
            <w:vAlign w:val="center"/>
            <w:hideMark/>
          </w:tcPr>
          <w:p w:rsidRPr="001E3FF9" w:rsidR="001E3FF9" w:rsidP="001E3FF9" w:rsidRDefault="001E3FF9" w14:paraId="35D97113" w14:textId="77777777">
            <w:pPr>
              <w:spacing w:after="0" w:line="240" w:lineRule="auto"/>
              <w:rPr>
                <w:rFonts w:ascii="Calibri" w:hAnsi="Calibri" w:eastAsia="Times New Roman" w:cs="Calibri"/>
                <w:color w:val="000000"/>
                <w:lang w:eastAsia="en-GB"/>
              </w:rPr>
            </w:pPr>
            <w:r w:rsidRPr="001E3FF9">
              <w:rPr>
                <w:rFonts w:ascii="Calibri" w:hAnsi="Calibri" w:eastAsia="Times New Roman" w:cs="Calibri"/>
                <w:color w:val="000000"/>
                <w:lang w:eastAsia="en-GB"/>
              </w:rPr>
              <w:t>Average Syringe</w:t>
            </w:r>
          </w:p>
        </w:tc>
        <w:tc>
          <w:tcPr>
            <w:tcW w:w="1220" w:type="dxa"/>
            <w:tcBorders>
              <w:top w:val="nil"/>
              <w:left w:val="nil"/>
              <w:bottom w:val="single" w:color="auto" w:sz="4" w:space="0"/>
              <w:right w:val="single" w:color="auto" w:sz="8" w:space="0"/>
            </w:tcBorders>
            <w:shd w:val="clear" w:color="auto" w:fill="auto"/>
            <w:noWrap/>
            <w:vAlign w:val="center"/>
            <w:hideMark/>
          </w:tcPr>
          <w:p w:rsidRPr="001E3FF9" w:rsidR="001E3FF9" w:rsidP="001E3FF9" w:rsidRDefault="001E3FF9" w14:paraId="71D3BC84" w14:textId="77777777">
            <w:pPr>
              <w:spacing w:after="0" w:line="240" w:lineRule="auto"/>
              <w:jc w:val="right"/>
              <w:rPr>
                <w:rFonts w:ascii="Calibri" w:hAnsi="Calibri" w:eastAsia="Times New Roman" w:cs="Calibri"/>
                <w:color w:val="000000"/>
                <w:lang w:eastAsia="en-GB"/>
              </w:rPr>
            </w:pPr>
            <w:r w:rsidRPr="001E3FF9">
              <w:rPr>
                <w:rFonts w:ascii="Calibri" w:hAnsi="Calibri" w:eastAsia="Times New Roman" w:cs="Calibri"/>
                <w:color w:val="000000"/>
                <w:lang w:eastAsia="en-GB"/>
              </w:rPr>
              <w:t>5,334.28</w:t>
            </w:r>
          </w:p>
        </w:tc>
      </w:tr>
      <w:tr w:rsidRPr="001E3FF9" w:rsidR="001E3FF9" w:rsidTr="00153AFC" w14:paraId="385B87D7" w14:textId="77777777">
        <w:trPr>
          <w:trHeight w:val="315"/>
          <w:jc w:val="center"/>
        </w:trPr>
        <w:tc>
          <w:tcPr>
            <w:tcW w:w="3280" w:type="dxa"/>
            <w:tcBorders>
              <w:top w:val="nil"/>
              <w:left w:val="single" w:color="auto" w:sz="8" w:space="0"/>
              <w:bottom w:val="single" w:color="auto" w:sz="8" w:space="0"/>
              <w:right w:val="single" w:color="auto" w:sz="4" w:space="0"/>
            </w:tcBorders>
            <w:shd w:val="clear" w:color="auto" w:fill="002060"/>
            <w:noWrap/>
            <w:vAlign w:val="center"/>
            <w:hideMark/>
          </w:tcPr>
          <w:p w:rsidRPr="001E3FF9" w:rsidR="001E3FF9" w:rsidP="001E3FF9" w:rsidRDefault="001E3FF9" w14:paraId="489395D4" w14:textId="77777777">
            <w:pPr>
              <w:spacing w:after="0" w:line="240" w:lineRule="auto"/>
              <w:rPr>
                <w:rFonts w:ascii="Calibri" w:hAnsi="Calibri" w:eastAsia="Times New Roman" w:cs="Calibri"/>
                <w:color w:val="FFFFFF" w:themeColor="background1"/>
                <w:lang w:eastAsia="en-GB"/>
              </w:rPr>
            </w:pPr>
            <w:r w:rsidRPr="001E3FF9">
              <w:rPr>
                <w:rFonts w:ascii="Calibri" w:hAnsi="Calibri" w:eastAsia="Times New Roman" w:cs="Calibri"/>
                <w:color w:val="FFFFFF" w:themeColor="background1"/>
                <w:lang w:eastAsia="en-GB"/>
              </w:rPr>
              <w:t>Total kgCO2e</w:t>
            </w:r>
          </w:p>
        </w:tc>
        <w:tc>
          <w:tcPr>
            <w:tcW w:w="1220" w:type="dxa"/>
            <w:tcBorders>
              <w:top w:val="nil"/>
              <w:left w:val="nil"/>
              <w:bottom w:val="single" w:color="auto" w:sz="8" w:space="0"/>
              <w:right w:val="single" w:color="auto" w:sz="8" w:space="0"/>
            </w:tcBorders>
            <w:shd w:val="clear" w:color="auto" w:fill="002060"/>
            <w:noWrap/>
            <w:vAlign w:val="center"/>
            <w:hideMark/>
          </w:tcPr>
          <w:p w:rsidRPr="001E3FF9" w:rsidR="001E3FF9" w:rsidP="001E3FF9" w:rsidRDefault="001E3FF9" w14:paraId="60E7D176" w14:textId="77777777">
            <w:pPr>
              <w:spacing w:after="0" w:line="240" w:lineRule="auto"/>
              <w:jc w:val="right"/>
              <w:rPr>
                <w:rFonts w:ascii="Calibri" w:hAnsi="Calibri" w:eastAsia="Times New Roman" w:cs="Calibri"/>
                <w:color w:val="FFFFFF" w:themeColor="background1"/>
                <w:lang w:eastAsia="en-GB"/>
              </w:rPr>
            </w:pPr>
            <w:r w:rsidRPr="001E3FF9">
              <w:rPr>
                <w:rFonts w:ascii="Calibri" w:hAnsi="Calibri" w:eastAsia="Times New Roman" w:cs="Calibri"/>
                <w:color w:val="FFFFFF" w:themeColor="background1"/>
                <w:lang w:eastAsia="en-GB"/>
              </w:rPr>
              <w:t>60,689.99</w:t>
            </w:r>
          </w:p>
        </w:tc>
      </w:tr>
    </w:tbl>
    <w:p w:rsidRPr="003266B1" w:rsidR="00A71FAA" w:rsidP="00E13875" w:rsidRDefault="00A71FAA" w14:paraId="7BEBE183" w14:textId="77777777">
      <w:pPr>
        <w:ind w:left="360"/>
      </w:pPr>
    </w:p>
    <w:p w:rsidRPr="003266B1" w:rsidR="0012214B" w:rsidP="0012214B" w:rsidRDefault="00A71FAA" w14:paraId="11147F57" w14:textId="4A605749">
      <w:pPr>
        <w:ind w:left="360"/>
      </w:pPr>
      <w:r w:rsidRPr="003266B1">
        <w:t xml:space="preserve">The annual </w:t>
      </w:r>
      <w:r w:rsidRPr="003266B1" w:rsidR="00865D52">
        <w:t>emissions</w:t>
      </w:r>
      <w:r w:rsidRPr="003266B1">
        <w:t xml:space="preserve"> associated </w:t>
      </w:r>
      <w:r w:rsidRPr="003266B1" w:rsidR="00F01D8A">
        <w:t>with consumable</w:t>
      </w:r>
      <w:r w:rsidRPr="003266B1" w:rsidR="00865D52">
        <w:t xml:space="preserve"> use equates to </w:t>
      </w:r>
      <w:r w:rsidRPr="003266B1" w:rsidR="00865D52">
        <w:rPr>
          <w:b/>
          <w:bCs/>
          <w:color w:val="538135" w:themeColor="accent6" w:themeShade="BF"/>
        </w:rPr>
        <w:t>60</w:t>
      </w:r>
      <w:r w:rsidRPr="003266B1" w:rsidR="0012214B">
        <w:rPr>
          <w:b/>
          <w:bCs/>
          <w:color w:val="538135" w:themeColor="accent6" w:themeShade="BF"/>
        </w:rPr>
        <w:t>,690</w:t>
      </w:r>
      <w:r w:rsidRPr="003266B1" w:rsidR="0012214B">
        <w:t xml:space="preserve"> </w:t>
      </w:r>
      <w:r w:rsidRPr="003266B1" w:rsidR="0012214B">
        <w:rPr>
          <w:b/>
          <w:bCs/>
          <w:color w:val="538135" w:themeColor="accent6" w:themeShade="BF"/>
        </w:rPr>
        <w:t>kgCO</w:t>
      </w:r>
      <w:r w:rsidRPr="003266B1" w:rsidR="0012214B">
        <w:rPr>
          <w:b/>
          <w:bCs/>
          <w:color w:val="538135" w:themeColor="accent6" w:themeShade="BF"/>
          <w:vertAlign w:val="subscript"/>
        </w:rPr>
        <w:t>2</w:t>
      </w:r>
      <w:r w:rsidRPr="003266B1" w:rsidR="0012214B">
        <w:rPr>
          <w:b/>
          <w:bCs/>
          <w:color w:val="538135" w:themeColor="accent6" w:themeShade="BF"/>
        </w:rPr>
        <w:t>e</w:t>
      </w:r>
      <w:r w:rsidR="000D3A00">
        <w:rPr>
          <w:b/>
          <w:bCs/>
          <w:color w:val="538135" w:themeColor="accent6" w:themeShade="BF"/>
        </w:rPr>
        <w:t>.</w:t>
      </w:r>
    </w:p>
    <w:p w:rsidR="00E13875" w:rsidP="00DB71C7" w:rsidRDefault="006568D2" w14:paraId="07508F42" w14:textId="6314BE45">
      <w:pPr>
        <w:ind w:left="360"/>
        <w:jc w:val="both"/>
      </w:pPr>
      <w:r>
        <w:t xml:space="preserve">The </w:t>
      </w:r>
      <w:r w:rsidR="00DA5C1B">
        <w:t>consumables</w:t>
      </w:r>
      <w:r>
        <w:t xml:space="preserve"> are all single use items and come with a significant amount of packaging.</w:t>
      </w:r>
      <w:r w:rsidR="00400015">
        <w:t xml:space="preserve"> </w:t>
      </w:r>
      <w:r w:rsidR="00232E2E">
        <w:t xml:space="preserve"> The data for gloves was unavailable, this is due to</w:t>
      </w:r>
      <w:r w:rsidR="00156744">
        <w:t xml:space="preserve"> the NHSE supply of Personal </w:t>
      </w:r>
      <w:r w:rsidR="009806CE">
        <w:t>P</w:t>
      </w:r>
      <w:r w:rsidR="00156744">
        <w:t xml:space="preserve">rotective </w:t>
      </w:r>
      <w:r w:rsidR="009806CE">
        <w:t>E</w:t>
      </w:r>
      <w:r w:rsidR="00156744">
        <w:t>quipment during the Covid pandemic. The</w:t>
      </w:r>
      <w:r w:rsidR="00400015">
        <w:t xml:space="preserve"> </w:t>
      </w:r>
      <w:r w:rsidR="005C1846">
        <w:t>consumables</w:t>
      </w:r>
      <w:r w:rsidR="00400015">
        <w:t xml:space="preserve"> make up 7% of the overall emissions. When coupled with </w:t>
      </w:r>
      <w:r w:rsidR="005C1846">
        <w:t>pharmaceuticals and equipment this represents 30%</w:t>
      </w:r>
      <w:r w:rsidR="00321C56">
        <w:t xml:space="preserve">. </w:t>
      </w:r>
      <w:r w:rsidR="002C4DCA">
        <w:t>To reduce the impact, working with procurement</w:t>
      </w:r>
      <w:r w:rsidR="00321C56">
        <w:t>,</w:t>
      </w:r>
      <w:r w:rsidR="002C4DCA">
        <w:t xml:space="preserve"> the </w:t>
      </w:r>
      <w:r w:rsidR="00321C56">
        <w:t>manufacture</w:t>
      </w:r>
      <w:r w:rsidR="002C4DCA">
        <w:t xml:space="preserve">, </w:t>
      </w:r>
      <w:r w:rsidR="00321C56">
        <w:t>packaging,</w:t>
      </w:r>
      <w:r w:rsidR="002C4DCA">
        <w:t xml:space="preserve"> and distribution</w:t>
      </w:r>
      <w:r w:rsidR="00321C56">
        <w:t xml:space="preserve"> of these </w:t>
      </w:r>
      <w:r w:rsidR="000D41AE">
        <w:t>items should be reviewed. The following recommendation was made:</w:t>
      </w:r>
    </w:p>
    <w:p w:rsidR="000D41AE" w:rsidP="00DB71C7" w:rsidRDefault="003C0748" w14:paraId="1565CFE5" w14:textId="5B44E6C0">
      <w:pPr>
        <w:pStyle w:val="ListParagraph"/>
        <w:numPr>
          <w:ilvl w:val="0"/>
          <w:numId w:val="36"/>
        </w:numPr>
        <w:jc w:val="both"/>
        <w:rPr>
          <w:b/>
          <w:bCs/>
          <w:color w:val="538135" w:themeColor="accent6" w:themeShade="BF"/>
        </w:rPr>
      </w:pPr>
      <w:r>
        <w:rPr>
          <w:b/>
          <w:bCs/>
          <w:color w:val="538135" w:themeColor="accent6" w:themeShade="BF"/>
        </w:rPr>
        <w:t>Evaluation</w:t>
      </w:r>
      <w:r w:rsidRPr="00132A0A" w:rsidR="000D41AE">
        <w:rPr>
          <w:b/>
          <w:bCs/>
          <w:color w:val="538135" w:themeColor="accent6" w:themeShade="BF"/>
        </w:rPr>
        <w:t xml:space="preserve"> of the manufacture, </w:t>
      </w:r>
      <w:r w:rsidRPr="00132A0A" w:rsidR="00BF5858">
        <w:rPr>
          <w:b/>
          <w:bCs/>
          <w:color w:val="538135" w:themeColor="accent6" w:themeShade="BF"/>
        </w:rPr>
        <w:t>packaging and distribution of consumables and pharmaceuticals</w:t>
      </w:r>
      <w:r w:rsidRPr="00132A0A" w:rsidR="00C40693">
        <w:rPr>
          <w:b/>
          <w:bCs/>
          <w:color w:val="538135" w:themeColor="accent6" w:themeShade="BF"/>
        </w:rPr>
        <w:t>. This could be done by sourcing the life cycle impact data</w:t>
      </w:r>
      <w:r w:rsidRPr="00132A0A" w:rsidR="000868D3">
        <w:rPr>
          <w:b/>
          <w:bCs/>
          <w:color w:val="538135" w:themeColor="accent6" w:themeShade="BF"/>
        </w:rPr>
        <w:t xml:space="preserve"> from suppliers to fully understand the carbon impact. </w:t>
      </w:r>
      <w:r w:rsidRPr="00132A0A" w:rsidR="00EA5010">
        <w:rPr>
          <w:b/>
          <w:bCs/>
          <w:color w:val="538135" w:themeColor="accent6" w:themeShade="BF"/>
        </w:rPr>
        <w:t>Collaborati</w:t>
      </w:r>
      <w:r w:rsidR="00EA5010">
        <w:rPr>
          <w:b/>
          <w:bCs/>
          <w:color w:val="538135" w:themeColor="accent6" w:themeShade="BF"/>
        </w:rPr>
        <w:t>on</w:t>
      </w:r>
      <w:r w:rsidR="00F232E2">
        <w:rPr>
          <w:b/>
          <w:bCs/>
          <w:color w:val="538135" w:themeColor="accent6" w:themeShade="BF"/>
        </w:rPr>
        <w:t xml:space="preserve"> in the procurement process with</w:t>
      </w:r>
      <w:r w:rsidRPr="00132A0A" w:rsidR="000868D3">
        <w:rPr>
          <w:b/>
          <w:bCs/>
          <w:color w:val="538135" w:themeColor="accent6" w:themeShade="BF"/>
        </w:rPr>
        <w:t xml:space="preserve"> the supplier to optimise the packaging to reduce the amount of waste generated</w:t>
      </w:r>
      <w:r w:rsidR="00E87C96">
        <w:rPr>
          <w:b/>
          <w:bCs/>
          <w:color w:val="538135" w:themeColor="accent6" w:themeShade="BF"/>
        </w:rPr>
        <w:t>.</w:t>
      </w:r>
    </w:p>
    <w:p w:rsidRPr="00132A0A" w:rsidR="00132A0A" w:rsidP="00132A0A" w:rsidRDefault="00132A0A" w14:paraId="4AAD2637" w14:textId="77777777">
      <w:pPr>
        <w:pStyle w:val="ListParagraph"/>
        <w:ind w:left="1080"/>
        <w:rPr>
          <w:b/>
          <w:bCs/>
          <w:color w:val="538135" w:themeColor="accent6" w:themeShade="BF"/>
        </w:rPr>
      </w:pPr>
    </w:p>
    <w:p w:rsidRPr="00F062F8" w:rsidR="00D623BE" w:rsidP="00FD0F85" w:rsidRDefault="00D623BE" w14:paraId="1A10D686" w14:textId="206503CB">
      <w:pPr>
        <w:pStyle w:val="ListParagraph"/>
        <w:numPr>
          <w:ilvl w:val="1"/>
          <w:numId w:val="30"/>
        </w:numPr>
        <w:ind w:left="993" w:hanging="567"/>
        <w:rPr>
          <w:rFonts w:cstheme="minorHAnsi"/>
          <w:b/>
          <w:bCs/>
          <w:color w:val="538135" w:themeColor="accent6" w:themeShade="BF"/>
          <w:sz w:val="24"/>
          <w:szCs w:val="24"/>
        </w:rPr>
      </w:pPr>
      <w:r w:rsidRPr="00F062F8">
        <w:rPr>
          <w:b/>
          <w:bCs/>
          <w:color w:val="538135" w:themeColor="accent6" w:themeShade="BF"/>
          <w:sz w:val="24"/>
          <w:szCs w:val="24"/>
        </w:rPr>
        <w:t>Equipment</w:t>
      </w:r>
    </w:p>
    <w:p w:rsidR="003A1EB9" w:rsidP="00D5141D" w:rsidRDefault="00BE21A6" w14:paraId="73F1F897" w14:textId="337F8E2A">
      <w:pPr>
        <w:ind w:left="360"/>
        <w:jc w:val="both"/>
      </w:pPr>
      <w:r w:rsidRPr="003266B1">
        <w:t>The equipment included in the calculat</w:t>
      </w:r>
      <w:r w:rsidR="00EF4B5A">
        <w:t>ion</w:t>
      </w:r>
      <w:r w:rsidRPr="003266B1">
        <w:t xml:space="preserve"> includes</w:t>
      </w:r>
      <w:r w:rsidRPr="003266B1" w:rsidR="0030301E">
        <w:t xml:space="preserve"> 66 hospital beds, 120 dialysis machines</w:t>
      </w:r>
      <w:r w:rsidRPr="003266B1" w:rsidR="00562351">
        <w:t xml:space="preserve"> and 4 water treatment plants.</w:t>
      </w:r>
    </w:p>
    <w:p w:rsidRPr="00A73F18" w:rsidR="00424A7B" w:rsidP="00D5141D" w:rsidRDefault="00424A7B" w14:paraId="619D71C9" w14:textId="59ABE158">
      <w:pPr>
        <w:ind w:left="360"/>
        <w:jc w:val="both"/>
        <w:rPr>
          <w:b/>
          <w:bCs/>
        </w:rPr>
      </w:pPr>
      <w:r w:rsidRPr="00A73F18">
        <w:rPr>
          <w:b/>
          <w:bCs/>
        </w:rPr>
        <w:t>Dialysis machines</w:t>
      </w:r>
    </w:p>
    <w:tbl>
      <w:tblPr>
        <w:tblStyle w:val="TableGrid"/>
        <w:tblW w:w="0" w:type="auto"/>
        <w:tblInd w:w="360" w:type="dxa"/>
        <w:tblLook w:val="04A0" w:firstRow="1" w:lastRow="0" w:firstColumn="1" w:lastColumn="0" w:noHBand="0" w:noVBand="1"/>
      </w:tblPr>
      <w:tblGrid>
        <w:gridCol w:w="3278"/>
        <w:gridCol w:w="3279"/>
        <w:gridCol w:w="3279"/>
      </w:tblGrid>
      <w:tr w:rsidR="008C2572" w:rsidTr="00162F6B" w14:paraId="0D02B65E" w14:textId="43ECB951">
        <w:tc>
          <w:tcPr>
            <w:tcW w:w="3278" w:type="dxa"/>
            <w:shd w:val="clear" w:color="auto" w:fill="002060"/>
          </w:tcPr>
          <w:p w:rsidRPr="00162F6B" w:rsidR="008C2572" w:rsidP="00D5141D" w:rsidRDefault="008C2572" w14:paraId="5BDE9F89" w14:textId="5ECDE653">
            <w:pPr>
              <w:jc w:val="both"/>
              <w:rPr>
                <w:color w:val="FFFFFF" w:themeColor="background1"/>
              </w:rPr>
            </w:pPr>
            <w:r w:rsidRPr="00162F6B">
              <w:rPr>
                <w:color w:val="FFFFFF" w:themeColor="background1"/>
              </w:rPr>
              <w:t>Ward/ Unit</w:t>
            </w:r>
          </w:p>
        </w:tc>
        <w:tc>
          <w:tcPr>
            <w:tcW w:w="3279" w:type="dxa"/>
            <w:shd w:val="clear" w:color="auto" w:fill="002060"/>
          </w:tcPr>
          <w:p w:rsidRPr="00162F6B" w:rsidR="008C2572" w:rsidP="00D5141D" w:rsidRDefault="008C2572" w14:paraId="069B4069" w14:textId="29F89AAB">
            <w:pPr>
              <w:jc w:val="both"/>
              <w:rPr>
                <w:color w:val="FFFFFF" w:themeColor="background1"/>
              </w:rPr>
            </w:pPr>
            <w:r w:rsidRPr="00162F6B">
              <w:rPr>
                <w:color w:val="FFFFFF" w:themeColor="background1"/>
              </w:rPr>
              <w:t>Make/ Model</w:t>
            </w:r>
          </w:p>
        </w:tc>
        <w:tc>
          <w:tcPr>
            <w:tcW w:w="3279" w:type="dxa"/>
            <w:shd w:val="clear" w:color="auto" w:fill="002060"/>
          </w:tcPr>
          <w:p w:rsidRPr="00162F6B" w:rsidR="008C2572" w:rsidP="00F07C2C" w:rsidRDefault="008C2572" w14:paraId="6B8E370F" w14:textId="421B4AB1">
            <w:pPr>
              <w:jc w:val="center"/>
              <w:rPr>
                <w:color w:val="FFFFFF" w:themeColor="background1"/>
              </w:rPr>
            </w:pPr>
            <w:r w:rsidRPr="00162F6B">
              <w:rPr>
                <w:color w:val="FFFFFF" w:themeColor="background1"/>
              </w:rPr>
              <w:t>Number</w:t>
            </w:r>
          </w:p>
        </w:tc>
      </w:tr>
      <w:tr w:rsidR="008C2572" w:rsidTr="008C2572" w14:paraId="333AC075" w14:textId="571E53B6">
        <w:tc>
          <w:tcPr>
            <w:tcW w:w="3278" w:type="dxa"/>
          </w:tcPr>
          <w:p w:rsidR="008C2572" w:rsidP="00D5141D" w:rsidRDefault="0006004F" w14:paraId="541A5FDD" w14:textId="09120D72">
            <w:pPr>
              <w:jc w:val="both"/>
            </w:pPr>
            <w:r>
              <w:t>Peter Moorhead unit</w:t>
            </w:r>
          </w:p>
        </w:tc>
        <w:tc>
          <w:tcPr>
            <w:tcW w:w="3279" w:type="dxa"/>
          </w:tcPr>
          <w:p w:rsidR="008C2572" w:rsidP="00D5141D" w:rsidRDefault="00B64836" w14:paraId="12DC9487" w14:textId="77AA6906">
            <w:pPr>
              <w:jc w:val="both"/>
            </w:pPr>
            <w:r>
              <w:t>Dialog IQ+</w:t>
            </w:r>
          </w:p>
        </w:tc>
        <w:tc>
          <w:tcPr>
            <w:tcW w:w="3279" w:type="dxa"/>
          </w:tcPr>
          <w:p w:rsidR="008C2572" w:rsidP="00F07C2C" w:rsidRDefault="0006004F" w14:paraId="417E4E86" w14:textId="470A893E">
            <w:pPr>
              <w:jc w:val="center"/>
            </w:pPr>
            <w:r>
              <w:t>38</w:t>
            </w:r>
          </w:p>
        </w:tc>
      </w:tr>
      <w:tr w:rsidR="008C2572" w:rsidTr="008C2572" w14:paraId="76DBE5FC" w14:textId="0A1EAADE">
        <w:tc>
          <w:tcPr>
            <w:tcW w:w="3278" w:type="dxa"/>
          </w:tcPr>
          <w:p w:rsidR="008C2572" w:rsidP="00D5141D" w:rsidRDefault="00CD587D" w14:paraId="6FF611EE" w14:textId="6E47A17B">
            <w:pPr>
              <w:jc w:val="both"/>
            </w:pPr>
            <w:r>
              <w:t>Renal Unit G</w:t>
            </w:r>
          </w:p>
        </w:tc>
        <w:tc>
          <w:tcPr>
            <w:tcW w:w="3279" w:type="dxa"/>
          </w:tcPr>
          <w:p w:rsidR="008C2572" w:rsidP="00D5141D" w:rsidRDefault="00DD0BC7" w14:paraId="4E1AD7F6" w14:textId="608AF7F4">
            <w:pPr>
              <w:jc w:val="both"/>
            </w:pPr>
            <w:r>
              <w:t>Dialog IQ+</w:t>
            </w:r>
          </w:p>
        </w:tc>
        <w:tc>
          <w:tcPr>
            <w:tcW w:w="3279" w:type="dxa"/>
          </w:tcPr>
          <w:p w:rsidR="008C2572" w:rsidP="00F07C2C" w:rsidRDefault="0006004F" w14:paraId="558DC7FC" w14:textId="573689C7">
            <w:pPr>
              <w:jc w:val="center"/>
            </w:pPr>
            <w:r>
              <w:t>50</w:t>
            </w:r>
          </w:p>
        </w:tc>
      </w:tr>
      <w:tr w:rsidR="00CD587D" w:rsidTr="008C2572" w14:paraId="6201858C" w14:textId="77777777">
        <w:tc>
          <w:tcPr>
            <w:tcW w:w="3278" w:type="dxa"/>
          </w:tcPr>
          <w:p w:rsidR="00CD587D" w:rsidP="00D5141D" w:rsidRDefault="00CD587D" w14:paraId="166EAF6A" w14:textId="77777777">
            <w:pPr>
              <w:jc w:val="both"/>
            </w:pPr>
          </w:p>
        </w:tc>
        <w:tc>
          <w:tcPr>
            <w:tcW w:w="3279" w:type="dxa"/>
          </w:tcPr>
          <w:p w:rsidR="00CD587D" w:rsidP="00D5141D" w:rsidRDefault="00DD0BC7" w14:paraId="2F4C2F47" w14:textId="22F39A24">
            <w:pPr>
              <w:jc w:val="both"/>
            </w:pPr>
            <w:r>
              <w:t>Dialog Evolution</w:t>
            </w:r>
          </w:p>
        </w:tc>
        <w:tc>
          <w:tcPr>
            <w:tcW w:w="3279" w:type="dxa"/>
          </w:tcPr>
          <w:p w:rsidR="00CD587D" w:rsidP="00F07C2C" w:rsidRDefault="0006004F" w14:paraId="18BE925C" w14:textId="45F95477">
            <w:pPr>
              <w:jc w:val="center"/>
            </w:pPr>
            <w:r>
              <w:t>15</w:t>
            </w:r>
          </w:p>
        </w:tc>
      </w:tr>
      <w:tr w:rsidR="00CD587D" w:rsidTr="008C2572" w14:paraId="6537E706" w14:textId="77777777">
        <w:tc>
          <w:tcPr>
            <w:tcW w:w="3278" w:type="dxa"/>
          </w:tcPr>
          <w:p w:rsidR="00CD587D" w:rsidP="00D5141D" w:rsidRDefault="0006004F" w14:paraId="294DB5B4" w14:textId="27626B25">
            <w:pPr>
              <w:jc w:val="both"/>
            </w:pPr>
            <w:r>
              <w:t>Vickers 1</w:t>
            </w:r>
          </w:p>
        </w:tc>
        <w:tc>
          <w:tcPr>
            <w:tcW w:w="3279" w:type="dxa"/>
          </w:tcPr>
          <w:p w:rsidR="00CD587D" w:rsidP="00D5141D" w:rsidRDefault="0006004F" w14:paraId="25407583" w14:textId="58EF6DA5">
            <w:pPr>
              <w:jc w:val="both"/>
            </w:pPr>
            <w:r>
              <w:t>Dialog Evolution</w:t>
            </w:r>
          </w:p>
        </w:tc>
        <w:tc>
          <w:tcPr>
            <w:tcW w:w="3279" w:type="dxa"/>
          </w:tcPr>
          <w:p w:rsidR="00CD587D" w:rsidP="00F07C2C" w:rsidRDefault="0006004F" w14:paraId="34E8E221" w14:textId="7A85535F">
            <w:pPr>
              <w:jc w:val="center"/>
            </w:pPr>
            <w:r>
              <w:t>17</w:t>
            </w:r>
          </w:p>
        </w:tc>
      </w:tr>
      <w:tr w:rsidR="00CD587D" w:rsidTr="00162F6B" w14:paraId="2EFCB2AE" w14:textId="77777777">
        <w:tc>
          <w:tcPr>
            <w:tcW w:w="3278" w:type="dxa"/>
            <w:shd w:val="clear" w:color="auto" w:fill="92D050"/>
          </w:tcPr>
          <w:p w:rsidR="00CD587D" w:rsidP="00D5141D" w:rsidRDefault="00162F6B" w14:paraId="2CA6C59F" w14:textId="769018C4">
            <w:pPr>
              <w:jc w:val="both"/>
            </w:pPr>
            <w:r>
              <w:t>Total</w:t>
            </w:r>
          </w:p>
        </w:tc>
        <w:tc>
          <w:tcPr>
            <w:tcW w:w="3279" w:type="dxa"/>
            <w:shd w:val="clear" w:color="auto" w:fill="92D050"/>
          </w:tcPr>
          <w:p w:rsidR="00CD587D" w:rsidP="00D5141D" w:rsidRDefault="00CD587D" w14:paraId="14F82295" w14:textId="77777777">
            <w:pPr>
              <w:jc w:val="both"/>
            </w:pPr>
          </w:p>
        </w:tc>
        <w:tc>
          <w:tcPr>
            <w:tcW w:w="3279" w:type="dxa"/>
            <w:shd w:val="clear" w:color="auto" w:fill="92D050"/>
          </w:tcPr>
          <w:p w:rsidR="00CD587D" w:rsidP="00F07C2C" w:rsidRDefault="00162F6B" w14:paraId="0E535BFD" w14:textId="5AA77BCE">
            <w:pPr>
              <w:jc w:val="center"/>
            </w:pPr>
            <w:r>
              <w:t>120</w:t>
            </w:r>
          </w:p>
        </w:tc>
      </w:tr>
    </w:tbl>
    <w:p w:rsidR="006C773C" w:rsidP="00D5141D" w:rsidRDefault="006C773C" w14:paraId="1AFDEDA3" w14:textId="77777777">
      <w:pPr>
        <w:ind w:left="360"/>
        <w:jc w:val="both"/>
      </w:pPr>
    </w:p>
    <w:p w:rsidRPr="00A73F18" w:rsidR="00424A7B" w:rsidP="00D5141D" w:rsidRDefault="00424A7B" w14:paraId="7C6C8BDA" w14:textId="328DC55E">
      <w:pPr>
        <w:ind w:left="360"/>
        <w:jc w:val="both"/>
        <w:rPr>
          <w:b/>
          <w:bCs/>
        </w:rPr>
      </w:pPr>
      <w:r w:rsidRPr="00A73F18">
        <w:rPr>
          <w:b/>
          <w:bCs/>
        </w:rPr>
        <w:t>Water treatment plant</w:t>
      </w:r>
    </w:p>
    <w:tbl>
      <w:tblPr>
        <w:tblStyle w:val="TableGrid"/>
        <w:tblW w:w="0" w:type="auto"/>
        <w:tblInd w:w="360" w:type="dxa"/>
        <w:tblLook w:val="04A0" w:firstRow="1" w:lastRow="0" w:firstColumn="1" w:lastColumn="0" w:noHBand="0" w:noVBand="1"/>
      </w:tblPr>
      <w:tblGrid>
        <w:gridCol w:w="3278"/>
        <w:gridCol w:w="3279"/>
        <w:gridCol w:w="3279"/>
      </w:tblGrid>
      <w:tr w:rsidRPr="00162F6B" w:rsidR="00424A7B" w14:paraId="1A974862" w14:textId="77777777">
        <w:tc>
          <w:tcPr>
            <w:tcW w:w="3278" w:type="dxa"/>
            <w:shd w:val="clear" w:color="auto" w:fill="002060"/>
          </w:tcPr>
          <w:p w:rsidRPr="00162F6B" w:rsidR="00424A7B" w:rsidRDefault="00424A7B" w14:paraId="150594C2" w14:textId="77777777">
            <w:pPr>
              <w:jc w:val="both"/>
              <w:rPr>
                <w:color w:val="FFFFFF" w:themeColor="background1"/>
              </w:rPr>
            </w:pPr>
            <w:r w:rsidRPr="00162F6B">
              <w:rPr>
                <w:color w:val="FFFFFF" w:themeColor="background1"/>
              </w:rPr>
              <w:t>Ward/ Unit</w:t>
            </w:r>
          </w:p>
        </w:tc>
        <w:tc>
          <w:tcPr>
            <w:tcW w:w="3279" w:type="dxa"/>
            <w:shd w:val="clear" w:color="auto" w:fill="002060"/>
          </w:tcPr>
          <w:p w:rsidRPr="00162F6B" w:rsidR="00424A7B" w:rsidRDefault="00424A7B" w14:paraId="122899C4" w14:textId="77777777">
            <w:pPr>
              <w:jc w:val="both"/>
              <w:rPr>
                <w:color w:val="FFFFFF" w:themeColor="background1"/>
              </w:rPr>
            </w:pPr>
            <w:r w:rsidRPr="00162F6B">
              <w:rPr>
                <w:color w:val="FFFFFF" w:themeColor="background1"/>
              </w:rPr>
              <w:t>Make/ Model</w:t>
            </w:r>
          </w:p>
        </w:tc>
        <w:tc>
          <w:tcPr>
            <w:tcW w:w="3279" w:type="dxa"/>
            <w:shd w:val="clear" w:color="auto" w:fill="002060"/>
          </w:tcPr>
          <w:p w:rsidRPr="00162F6B" w:rsidR="00424A7B" w:rsidP="00F07C2C" w:rsidRDefault="00424A7B" w14:paraId="3A9FAC06" w14:textId="77777777">
            <w:pPr>
              <w:jc w:val="center"/>
              <w:rPr>
                <w:color w:val="FFFFFF" w:themeColor="background1"/>
              </w:rPr>
            </w:pPr>
            <w:r w:rsidRPr="00162F6B">
              <w:rPr>
                <w:color w:val="FFFFFF" w:themeColor="background1"/>
              </w:rPr>
              <w:t>Number</w:t>
            </w:r>
          </w:p>
        </w:tc>
      </w:tr>
      <w:tr w:rsidR="00424A7B" w14:paraId="6FBD21A9" w14:textId="77777777">
        <w:tc>
          <w:tcPr>
            <w:tcW w:w="3278" w:type="dxa"/>
          </w:tcPr>
          <w:p w:rsidR="00424A7B" w:rsidRDefault="00424A7B" w14:paraId="38C0A826" w14:textId="77777777">
            <w:pPr>
              <w:jc w:val="both"/>
            </w:pPr>
            <w:r>
              <w:t>Peter Moorhead unit</w:t>
            </w:r>
          </w:p>
        </w:tc>
        <w:tc>
          <w:tcPr>
            <w:tcW w:w="3279" w:type="dxa"/>
          </w:tcPr>
          <w:p w:rsidR="00424A7B" w:rsidRDefault="0070762C" w14:paraId="51FF9DC2" w14:textId="0AA79479">
            <w:pPr>
              <w:jc w:val="both"/>
            </w:pPr>
            <w:r>
              <w:t>RO DIA 11 2450</w:t>
            </w:r>
          </w:p>
        </w:tc>
        <w:tc>
          <w:tcPr>
            <w:tcW w:w="3279" w:type="dxa"/>
          </w:tcPr>
          <w:p w:rsidR="00424A7B" w:rsidP="00F07C2C" w:rsidRDefault="0070762C" w14:paraId="56540127" w14:textId="0776E686">
            <w:pPr>
              <w:jc w:val="center"/>
            </w:pPr>
            <w:r>
              <w:t>2</w:t>
            </w:r>
          </w:p>
        </w:tc>
      </w:tr>
      <w:tr w:rsidR="00424A7B" w14:paraId="5CAF421A" w14:textId="77777777">
        <w:tc>
          <w:tcPr>
            <w:tcW w:w="3278" w:type="dxa"/>
          </w:tcPr>
          <w:p w:rsidR="00424A7B" w:rsidRDefault="00424A7B" w14:paraId="45C15132" w14:textId="33923C33">
            <w:pPr>
              <w:jc w:val="both"/>
            </w:pPr>
            <w:r>
              <w:t>Renal Unit G</w:t>
            </w:r>
            <w:r w:rsidR="0070762C">
              <w:t>/ Vickers 1</w:t>
            </w:r>
          </w:p>
        </w:tc>
        <w:tc>
          <w:tcPr>
            <w:tcW w:w="3279" w:type="dxa"/>
          </w:tcPr>
          <w:p w:rsidR="00424A7B" w:rsidRDefault="006F7833" w14:paraId="2454CE4C" w14:textId="4D5FE94B">
            <w:pPr>
              <w:jc w:val="both"/>
            </w:pPr>
            <w:r>
              <w:t>RO DIA 11 2800</w:t>
            </w:r>
          </w:p>
        </w:tc>
        <w:tc>
          <w:tcPr>
            <w:tcW w:w="3279" w:type="dxa"/>
          </w:tcPr>
          <w:p w:rsidR="00424A7B" w:rsidP="00F07C2C" w:rsidRDefault="006F7833" w14:paraId="647AF8FF" w14:textId="7385C8AC">
            <w:pPr>
              <w:jc w:val="center"/>
            </w:pPr>
            <w:r>
              <w:t>2</w:t>
            </w:r>
          </w:p>
        </w:tc>
      </w:tr>
      <w:tr w:rsidR="00424A7B" w14:paraId="7B970B65" w14:textId="77777777">
        <w:tc>
          <w:tcPr>
            <w:tcW w:w="3278" w:type="dxa"/>
            <w:shd w:val="clear" w:color="auto" w:fill="92D050"/>
          </w:tcPr>
          <w:p w:rsidR="00424A7B" w:rsidRDefault="00424A7B" w14:paraId="24220294" w14:textId="77777777">
            <w:pPr>
              <w:jc w:val="both"/>
            </w:pPr>
            <w:r>
              <w:t>Total</w:t>
            </w:r>
          </w:p>
        </w:tc>
        <w:tc>
          <w:tcPr>
            <w:tcW w:w="3279" w:type="dxa"/>
            <w:shd w:val="clear" w:color="auto" w:fill="92D050"/>
          </w:tcPr>
          <w:p w:rsidR="00424A7B" w:rsidRDefault="00424A7B" w14:paraId="47C9BA30" w14:textId="77777777">
            <w:pPr>
              <w:jc w:val="both"/>
            </w:pPr>
          </w:p>
        </w:tc>
        <w:tc>
          <w:tcPr>
            <w:tcW w:w="3279" w:type="dxa"/>
            <w:shd w:val="clear" w:color="auto" w:fill="92D050"/>
          </w:tcPr>
          <w:p w:rsidR="00424A7B" w:rsidP="00F07C2C" w:rsidRDefault="00F07C2C" w14:paraId="20F895C9" w14:textId="6F86BD6B">
            <w:pPr>
              <w:jc w:val="center"/>
            </w:pPr>
            <w:r>
              <w:t>4</w:t>
            </w:r>
          </w:p>
        </w:tc>
      </w:tr>
    </w:tbl>
    <w:p w:rsidR="00745E56" w:rsidP="00BE335E" w:rsidRDefault="00745E56" w14:paraId="6B2E4C86" w14:textId="77777777">
      <w:pPr>
        <w:jc w:val="both"/>
      </w:pPr>
    </w:p>
    <w:p w:rsidRPr="00A73F18" w:rsidR="00424A7B" w:rsidP="00D5141D" w:rsidRDefault="0043666B" w14:paraId="100EF59B" w14:textId="37AC1FB3">
      <w:pPr>
        <w:ind w:left="360"/>
        <w:jc w:val="both"/>
        <w:rPr>
          <w:b/>
          <w:bCs/>
        </w:rPr>
      </w:pPr>
      <w:r w:rsidRPr="00A73F18">
        <w:rPr>
          <w:b/>
          <w:bCs/>
        </w:rPr>
        <w:t>Hospital beds</w:t>
      </w:r>
    </w:p>
    <w:p w:rsidRPr="003266B1" w:rsidR="0043666B" w:rsidP="00D5141D" w:rsidRDefault="0012002A" w14:paraId="442A2036" w14:textId="6410F47D">
      <w:pPr>
        <w:ind w:left="360"/>
        <w:jc w:val="both"/>
      </w:pPr>
      <w:r>
        <w:t>66 Hospital beds were included in the calculation</w:t>
      </w:r>
      <w:r w:rsidR="00F92B4D">
        <w:t>, these were a generic item and not specific to those used at STH.</w:t>
      </w:r>
    </w:p>
    <w:p w:rsidR="003A1EB9" w:rsidP="00D5141D" w:rsidRDefault="003A1EB9" w14:paraId="76A0FEB1" w14:textId="50AF2ACB">
      <w:pPr>
        <w:ind w:left="360"/>
        <w:jc w:val="both"/>
        <w:rPr>
          <w:b/>
          <w:bCs/>
          <w:color w:val="538135" w:themeColor="accent6" w:themeShade="BF"/>
        </w:rPr>
      </w:pPr>
      <w:r w:rsidRPr="003266B1">
        <w:t xml:space="preserve">The annual emissions associated with </w:t>
      </w:r>
      <w:r w:rsidRPr="003266B1" w:rsidR="00AD0B54">
        <w:t xml:space="preserve">equipment equates to </w:t>
      </w:r>
      <w:r w:rsidRPr="003266B1" w:rsidR="00AD0B54">
        <w:rPr>
          <w:b/>
          <w:bCs/>
          <w:color w:val="538135" w:themeColor="accent6" w:themeShade="BF"/>
        </w:rPr>
        <w:t>22,313 kgCO</w:t>
      </w:r>
      <w:r w:rsidRPr="003266B1" w:rsidR="00AD0B54">
        <w:rPr>
          <w:b/>
          <w:bCs/>
          <w:color w:val="538135" w:themeColor="accent6" w:themeShade="BF"/>
          <w:vertAlign w:val="subscript"/>
        </w:rPr>
        <w:t>2</w:t>
      </w:r>
      <w:r w:rsidRPr="003266B1" w:rsidR="00AD0B54">
        <w:rPr>
          <w:b/>
          <w:bCs/>
          <w:color w:val="538135" w:themeColor="accent6" w:themeShade="BF"/>
        </w:rPr>
        <w:t>e</w:t>
      </w:r>
    </w:p>
    <w:p w:rsidRPr="003266B1" w:rsidR="00575BBF" w:rsidP="00D5141D" w:rsidRDefault="00BF5568" w14:paraId="31A803C6" w14:textId="59B016AC">
      <w:pPr>
        <w:ind w:left="360"/>
        <w:jc w:val="both"/>
      </w:pPr>
      <w:r w:rsidRPr="00207CD1">
        <w:t>The average lifetime for all equipment is 10 years</w:t>
      </w:r>
      <w:r w:rsidRPr="00207CD1" w:rsidR="00207CD1">
        <w:t xml:space="preserve"> and was assumed and applied to all equipment.</w:t>
      </w:r>
      <w:r w:rsidR="00207CD1">
        <w:t xml:space="preserve"> Due to the nature of the patients undergoing dialysis at STH they are all cared for in a hospital </w:t>
      </w:r>
      <w:r w:rsidR="00475579">
        <w:t>bed, no</w:t>
      </w:r>
      <w:r w:rsidR="00207CD1">
        <w:t xml:space="preserve"> dialysis chairs are used on the units.</w:t>
      </w:r>
    </w:p>
    <w:p w:rsidRPr="00F062F8" w:rsidR="00D623BE" w:rsidP="00FD0F85" w:rsidRDefault="00D623BE" w14:paraId="4E075730" w14:textId="1968E476">
      <w:pPr>
        <w:pStyle w:val="ListParagraph"/>
        <w:numPr>
          <w:ilvl w:val="1"/>
          <w:numId w:val="30"/>
        </w:numPr>
        <w:ind w:left="851" w:hanging="567"/>
        <w:rPr>
          <w:rFonts w:cstheme="minorHAnsi"/>
          <w:b/>
          <w:color w:val="538135" w:themeColor="accent6" w:themeShade="BF"/>
          <w:sz w:val="24"/>
          <w:szCs w:val="24"/>
        </w:rPr>
      </w:pPr>
      <w:r w:rsidRPr="00F062F8">
        <w:rPr>
          <w:b/>
          <w:color w:val="538135" w:themeColor="accent6" w:themeShade="BF"/>
          <w:sz w:val="24"/>
          <w:szCs w:val="24"/>
        </w:rPr>
        <w:lastRenderedPageBreak/>
        <w:t>Utilities &amp; Energy</w:t>
      </w:r>
    </w:p>
    <w:p w:rsidR="00220136" w:rsidP="00D5141D" w:rsidRDefault="00220136" w14:paraId="3D7B520F" w14:textId="6E38BB0E">
      <w:pPr>
        <w:ind w:left="360"/>
        <w:jc w:val="both"/>
      </w:pPr>
      <w:r>
        <w:t>The renal units</w:t>
      </w:r>
      <w:r w:rsidR="00A72A9F">
        <w:t xml:space="preserve"> do not have specific</w:t>
      </w:r>
      <w:r w:rsidR="00C40698">
        <w:t xml:space="preserve"> electricity or gas</w:t>
      </w:r>
      <w:r w:rsidR="00A72A9F">
        <w:t xml:space="preserve"> meters</w:t>
      </w:r>
      <w:r w:rsidR="00932E59">
        <w:t>, the figures</w:t>
      </w:r>
      <w:r w:rsidR="00851657">
        <w:t xml:space="preserve"> included in the calculation are shown below and</w:t>
      </w:r>
      <w:r w:rsidR="00932E59">
        <w:t xml:space="preserve"> are based on annual consumption figures</w:t>
      </w:r>
      <w:r w:rsidR="007A4B36">
        <w:t xml:space="preserve"> provided by the energy manager in </w:t>
      </w:r>
      <w:r w:rsidR="003B10C0">
        <w:t>E</w:t>
      </w:r>
      <w:r w:rsidR="007A4B36">
        <w:t>states.</w:t>
      </w:r>
    </w:p>
    <w:p w:rsidRPr="003266B1" w:rsidR="00E13875" w:rsidP="00D5141D" w:rsidRDefault="00882443" w14:paraId="5D7CD1BB" w14:textId="49EC5673">
      <w:pPr>
        <w:ind w:left="360"/>
        <w:jc w:val="both"/>
      </w:pPr>
      <w:r w:rsidRPr="003266B1">
        <w:t xml:space="preserve"> </w:t>
      </w:r>
    </w:p>
    <w:tbl>
      <w:tblPr>
        <w:tblStyle w:val="TableGrid"/>
        <w:tblW w:w="0" w:type="auto"/>
        <w:tblInd w:w="360" w:type="dxa"/>
        <w:tblLook w:val="04A0" w:firstRow="1" w:lastRow="0" w:firstColumn="1" w:lastColumn="0" w:noHBand="0" w:noVBand="1"/>
      </w:tblPr>
      <w:tblGrid>
        <w:gridCol w:w="4983"/>
        <w:gridCol w:w="4717"/>
      </w:tblGrid>
      <w:tr w:rsidR="00263199" w:rsidTr="00BC29FF" w14:paraId="76FBE35C" w14:textId="77777777">
        <w:tc>
          <w:tcPr>
            <w:tcW w:w="4983" w:type="dxa"/>
            <w:shd w:val="clear" w:color="auto" w:fill="002060"/>
          </w:tcPr>
          <w:p w:rsidRPr="00D73E7C" w:rsidR="00263199" w:rsidP="00DD6ECB" w:rsidRDefault="00263199" w14:paraId="4F05C152" w14:textId="1C9D2669">
            <w:pPr>
              <w:rPr>
                <w:color w:val="FFFFFF" w:themeColor="background1"/>
                <w:sz w:val="24"/>
                <w:szCs w:val="24"/>
              </w:rPr>
            </w:pPr>
            <w:r w:rsidRPr="00D73E7C">
              <w:rPr>
                <w:color w:val="FFFFFF" w:themeColor="background1"/>
                <w:sz w:val="24"/>
                <w:szCs w:val="24"/>
              </w:rPr>
              <w:t>Ward/ unit</w:t>
            </w:r>
          </w:p>
        </w:tc>
        <w:tc>
          <w:tcPr>
            <w:tcW w:w="4717" w:type="dxa"/>
            <w:shd w:val="clear" w:color="auto" w:fill="002060"/>
          </w:tcPr>
          <w:p w:rsidRPr="00D73E7C" w:rsidR="00263199" w:rsidP="00BC29FF" w:rsidRDefault="00263199" w14:paraId="2AD636AA" w14:textId="4D09B3CE">
            <w:pPr>
              <w:jc w:val="center"/>
              <w:rPr>
                <w:color w:val="FFFFFF" w:themeColor="background1"/>
                <w:sz w:val="24"/>
                <w:szCs w:val="24"/>
              </w:rPr>
            </w:pPr>
            <w:r w:rsidRPr="00D73E7C">
              <w:rPr>
                <w:color w:val="FFFFFF" w:themeColor="background1"/>
                <w:sz w:val="24"/>
                <w:szCs w:val="24"/>
              </w:rPr>
              <w:t>Electrical energy consumption</w:t>
            </w:r>
            <w:r w:rsidRPr="00D73E7C" w:rsidR="0051751D">
              <w:rPr>
                <w:color w:val="FFFFFF" w:themeColor="background1"/>
                <w:sz w:val="24"/>
                <w:szCs w:val="24"/>
              </w:rPr>
              <w:t xml:space="preserve"> kWh</w:t>
            </w:r>
          </w:p>
        </w:tc>
      </w:tr>
      <w:tr w:rsidR="00263199" w:rsidTr="00BC29FF" w14:paraId="584FF510" w14:textId="77777777">
        <w:tc>
          <w:tcPr>
            <w:tcW w:w="4983" w:type="dxa"/>
          </w:tcPr>
          <w:p w:rsidR="00263199" w:rsidP="00DD6ECB" w:rsidRDefault="00263199" w14:paraId="384E24D4" w14:textId="6A01D738">
            <w:pPr>
              <w:rPr>
                <w:sz w:val="24"/>
                <w:szCs w:val="24"/>
              </w:rPr>
            </w:pPr>
            <w:r>
              <w:rPr>
                <w:sz w:val="24"/>
                <w:szCs w:val="24"/>
              </w:rPr>
              <w:t>Peter Moorhead Unit</w:t>
            </w:r>
          </w:p>
        </w:tc>
        <w:tc>
          <w:tcPr>
            <w:tcW w:w="4717" w:type="dxa"/>
          </w:tcPr>
          <w:p w:rsidR="00263199" w:rsidP="00BC29FF" w:rsidRDefault="0051751D" w14:paraId="28E79BC7" w14:textId="6750F47A">
            <w:pPr>
              <w:jc w:val="center"/>
              <w:rPr>
                <w:sz w:val="24"/>
                <w:szCs w:val="24"/>
              </w:rPr>
            </w:pPr>
            <w:r>
              <w:rPr>
                <w:sz w:val="24"/>
                <w:szCs w:val="24"/>
              </w:rPr>
              <w:t>1</w:t>
            </w:r>
            <w:r w:rsidR="00375D27">
              <w:rPr>
                <w:sz w:val="24"/>
                <w:szCs w:val="24"/>
              </w:rPr>
              <w:t>15</w:t>
            </w:r>
            <w:r w:rsidR="00D303BC">
              <w:rPr>
                <w:sz w:val="24"/>
                <w:szCs w:val="24"/>
              </w:rPr>
              <w:t>,920</w:t>
            </w:r>
          </w:p>
        </w:tc>
      </w:tr>
      <w:tr w:rsidR="00263199" w:rsidTr="00BC29FF" w14:paraId="15D052D8" w14:textId="77777777">
        <w:tc>
          <w:tcPr>
            <w:tcW w:w="4983" w:type="dxa"/>
          </w:tcPr>
          <w:p w:rsidR="00263199" w:rsidP="00DD6ECB" w:rsidRDefault="00263199" w14:paraId="0E794381" w14:textId="72DA6D12">
            <w:pPr>
              <w:rPr>
                <w:sz w:val="24"/>
                <w:szCs w:val="24"/>
              </w:rPr>
            </w:pPr>
            <w:r>
              <w:rPr>
                <w:sz w:val="24"/>
                <w:szCs w:val="24"/>
              </w:rPr>
              <w:t>Vickers 1</w:t>
            </w:r>
          </w:p>
        </w:tc>
        <w:tc>
          <w:tcPr>
            <w:tcW w:w="4717" w:type="dxa"/>
          </w:tcPr>
          <w:p w:rsidR="00263199" w:rsidP="00BC29FF" w:rsidRDefault="00D303BC" w14:paraId="5D1F536D" w14:textId="5DAEA0EE">
            <w:pPr>
              <w:jc w:val="center"/>
              <w:rPr>
                <w:sz w:val="24"/>
                <w:szCs w:val="24"/>
              </w:rPr>
            </w:pPr>
            <w:r>
              <w:rPr>
                <w:sz w:val="24"/>
                <w:szCs w:val="24"/>
              </w:rPr>
              <w:t>71,400</w:t>
            </w:r>
          </w:p>
        </w:tc>
      </w:tr>
      <w:tr w:rsidR="00263199" w:rsidTr="00BC29FF" w14:paraId="66C76221" w14:textId="77777777">
        <w:tc>
          <w:tcPr>
            <w:tcW w:w="4983" w:type="dxa"/>
          </w:tcPr>
          <w:p w:rsidR="00263199" w:rsidP="00DD6ECB" w:rsidRDefault="00263199" w14:paraId="7406DE90" w14:textId="3BFA6F79">
            <w:pPr>
              <w:rPr>
                <w:sz w:val="24"/>
                <w:szCs w:val="24"/>
              </w:rPr>
            </w:pPr>
            <w:r>
              <w:rPr>
                <w:sz w:val="24"/>
                <w:szCs w:val="24"/>
              </w:rPr>
              <w:t>Renal Unit G</w:t>
            </w:r>
          </w:p>
        </w:tc>
        <w:tc>
          <w:tcPr>
            <w:tcW w:w="4717" w:type="dxa"/>
          </w:tcPr>
          <w:p w:rsidR="00263199" w:rsidP="00BC29FF" w:rsidRDefault="0051751D" w14:paraId="4695400F" w14:textId="0C0A72A1">
            <w:pPr>
              <w:jc w:val="center"/>
              <w:rPr>
                <w:sz w:val="24"/>
                <w:szCs w:val="24"/>
              </w:rPr>
            </w:pPr>
            <w:r>
              <w:rPr>
                <w:sz w:val="24"/>
                <w:szCs w:val="24"/>
              </w:rPr>
              <w:t>1</w:t>
            </w:r>
            <w:r w:rsidR="00D303BC">
              <w:rPr>
                <w:sz w:val="24"/>
                <w:szCs w:val="24"/>
              </w:rPr>
              <w:t>30,760</w:t>
            </w:r>
          </w:p>
        </w:tc>
      </w:tr>
      <w:tr w:rsidR="00263199" w:rsidTr="00BC29FF" w14:paraId="3F60B77E" w14:textId="77777777">
        <w:tc>
          <w:tcPr>
            <w:tcW w:w="4983" w:type="dxa"/>
            <w:shd w:val="clear" w:color="auto" w:fill="92D050"/>
          </w:tcPr>
          <w:p w:rsidR="00263199" w:rsidP="00DD6ECB" w:rsidRDefault="0051751D" w14:paraId="4D321628" w14:textId="5B7134F8">
            <w:pPr>
              <w:rPr>
                <w:sz w:val="24"/>
                <w:szCs w:val="24"/>
              </w:rPr>
            </w:pPr>
            <w:r>
              <w:rPr>
                <w:sz w:val="24"/>
                <w:szCs w:val="24"/>
              </w:rPr>
              <w:t>Tota</w:t>
            </w:r>
            <w:r w:rsidR="00197620">
              <w:rPr>
                <w:sz w:val="24"/>
                <w:szCs w:val="24"/>
              </w:rPr>
              <w:t>l</w:t>
            </w:r>
          </w:p>
        </w:tc>
        <w:tc>
          <w:tcPr>
            <w:tcW w:w="4717" w:type="dxa"/>
            <w:shd w:val="clear" w:color="auto" w:fill="92D050"/>
          </w:tcPr>
          <w:p w:rsidR="00263199" w:rsidP="00BC29FF" w:rsidRDefault="00D303BC" w14:paraId="1588E25D" w14:textId="33C1DBB9">
            <w:pPr>
              <w:jc w:val="center"/>
              <w:rPr>
                <w:sz w:val="24"/>
                <w:szCs w:val="24"/>
              </w:rPr>
            </w:pPr>
            <w:r>
              <w:rPr>
                <w:sz w:val="24"/>
                <w:szCs w:val="24"/>
              </w:rPr>
              <w:t>318,080</w:t>
            </w:r>
          </w:p>
        </w:tc>
      </w:tr>
    </w:tbl>
    <w:p w:rsidR="001C51BF" w:rsidP="00DD6ECB" w:rsidRDefault="001C51BF" w14:paraId="528CE40A" w14:textId="77777777">
      <w:pPr>
        <w:ind w:left="360"/>
        <w:rPr>
          <w:sz w:val="24"/>
          <w:szCs w:val="24"/>
        </w:rPr>
      </w:pPr>
    </w:p>
    <w:tbl>
      <w:tblPr>
        <w:tblStyle w:val="TableGrid"/>
        <w:tblW w:w="0" w:type="auto"/>
        <w:tblInd w:w="360" w:type="dxa"/>
        <w:tblLook w:val="04A0" w:firstRow="1" w:lastRow="0" w:firstColumn="1" w:lastColumn="0" w:noHBand="0" w:noVBand="1"/>
      </w:tblPr>
      <w:tblGrid>
        <w:gridCol w:w="4983"/>
        <w:gridCol w:w="4717"/>
      </w:tblGrid>
      <w:tr w:rsidR="00FD7A71" w:rsidTr="00BC29FF" w14:paraId="4E28E273" w14:textId="77777777">
        <w:tc>
          <w:tcPr>
            <w:tcW w:w="4983" w:type="dxa"/>
            <w:shd w:val="clear" w:color="auto" w:fill="002060"/>
          </w:tcPr>
          <w:p w:rsidRPr="00D73E7C" w:rsidR="00FD7A71" w:rsidRDefault="00FD7A71" w14:paraId="3B57D869" w14:textId="77777777">
            <w:pPr>
              <w:rPr>
                <w:color w:val="FFFFFF" w:themeColor="background1"/>
                <w:sz w:val="24"/>
                <w:szCs w:val="24"/>
              </w:rPr>
            </w:pPr>
            <w:r w:rsidRPr="00D73E7C">
              <w:rPr>
                <w:color w:val="FFFFFF" w:themeColor="background1"/>
                <w:sz w:val="24"/>
                <w:szCs w:val="24"/>
              </w:rPr>
              <w:t>Ward/ unit</w:t>
            </w:r>
          </w:p>
        </w:tc>
        <w:tc>
          <w:tcPr>
            <w:tcW w:w="4717" w:type="dxa"/>
            <w:shd w:val="clear" w:color="auto" w:fill="002060"/>
          </w:tcPr>
          <w:p w:rsidRPr="00D73E7C" w:rsidR="00FD7A71" w:rsidP="00BC29FF" w:rsidRDefault="00207E24" w14:paraId="341614CE" w14:textId="429E0D6D">
            <w:pPr>
              <w:jc w:val="center"/>
              <w:rPr>
                <w:color w:val="FFFFFF" w:themeColor="background1"/>
                <w:sz w:val="24"/>
                <w:szCs w:val="24"/>
              </w:rPr>
            </w:pPr>
            <w:r>
              <w:rPr>
                <w:color w:val="FFFFFF" w:themeColor="background1"/>
                <w:sz w:val="24"/>
                <w:szCs w:val="24"/>
              </w:rPr>
              <w:t>Gas consumption</w:t>
            </w:r>
            <w:r w:rsidR="00FD7A71">
              <w:rPr>
                <w:color w:val="FFFFFF" w:themeColor="background1"/>
                <w:sz w:val="24"/>
                <w:szCs w:val="24"/>
              </w:rPr>
              <w:t xml:space="preserve"> kWh</w:t>
            </w:r>
          </w:p>
        </w:tc>
      </w:tr>
      <w:tr w:rsidR="00FD7A71" w:rsidTr="00BC29FF" w14:paraId="3EA2AC03" w14:textId="77777777">
        <w:tc>
          <w:tcPr>
            <w:tcW w:w="4983" w:type="dxa"/>
          </w:tcPr>
          <w:p w:rsidR="00FD7A71" w:rsidRDefault="00FD7A71" w14:paraId="118437C9" w14:textId="77777777">
            <w:pPr>
              <w:rPr>
                <w:sz w:val="24"/>
                <w:szCs w:val="24"/>
              </w:rPr>
            </w:pPr>
            <w:r>
              <w:rPr>
                <w:sz w:val="24"/>
                <w:szCs w:val="24"/>
              </w:rPr>
              <w:t>Peter Moorhead Unit</w:t>
            </w:r>
          </w:p>
        </w:tc>
        <w:tc>
          <w:tcPr>
            <w:tcW w:w="4717" w:type="dxa"/>
          </w:tcPr>
          <w:p w:rsidR="00FD7A71" w:rsidP="00BC29FF" w:rsidRDefault="00BD64E2" w14:paraId="185CE3FA" w14:textId="3AEBB884">
            <w:pPr>
              <w:jc w:val="center"/>
              <w:rPr>
                <w:sz w:val="24"/>
                <w:szCs w:val="24"/>
              </w:rPr>
            </w:pPr>
            <w:r>
              <w:rPr>
                <w:sz w:val="24"/>
                <w:szCs w:val="24"/>
              </w:rPr>
              <w:t>78,660</w:t>
            </w:r>
          </w:p>
        </w:tc>
      </w:tr>
      <w:tr w:rsidR="00FD7A71" w:rsidTr="00BC29FF" w14:paraId="76A28F14" w14:textId="77777777">
        <w:tc>
          <w:tcPr>
            <w:tcW w:w="4983" w:type="dxa"/>
          </w:tcPr>
          <w:p w:rsidR="00FD7A71" w:rsidRDefault="00FD7A71" w14:paraId="01ADBFCB" w14:textId="77777777">
            <w:pPr>
              <w:rPr>
                <w:sz w:val="24"/>
                <w:szCs w:val="24"/>
              </w:rPr>
            </w:pPr>
            <w:r>
              <w:rPr>
                <w:sz w:val="24"/>
                <w:szCs w:val="24"/>
              </w:rPr>
              <w:t>Vickers 1</w:t>
            </w:r>
          </w:p>
        </w:tc>
        <w:tc>
          <w:tcPr>
            <w:tcW w:w="4717" w:type="dxa"/>
          </w:tcPr>
          <w:p w:rsidR="00FD7A71" w:rsidP="00BC29FF" w:rsidRDefault="00BD64E2" w14:paraId="01A373EA" w14:textId="6C8937C2">
            <w:pPr>
              <w:jc w:val="center"/>
              <w:rPr>
                <w:sz w:val="24"/>
                <w:szCs w:val="24"/>
              </w:rPr>
            </w:pPr>
            <w:r>
              <w:rPr>
                <w:sz w:val="24"/>
                <w:szCs w:val="24"/>
              </w:rPr>
              <w:t>48,450</w:t>
            </w:r>
          </w:p>
        </w:tc>
      </w:tr>
      <w:tr w:rsidR="00FD7A71" w:rsidTr="00BC29FF" w14:paraId="3FAA1E62" w14:textId="77777777">
        <w:tc>
          <w:tcPr>
            <w:tcW w:w="4983" w:type="dxa"/>
          </w:tcPr>
          <w:p w:rsidR="00FD7A71" w:rsidRDefault="00FD7A71" w14:paraId="5557F682" w14:textId="77777777">
            <w:pPr>
              <w:rPr>
                <w:sz w:val="24"/>
                <w:szCs w:val="24"/>
              </w:rPr>
            </w:pPr>
            <w:r>
              <w:rPr>
                <w:sz w:val="24"/>
                <w:szCs w:val="24"/>
              </w:rPr>
              <w:t>Renal Unit G</w:t>
            </w:r>
          </w:p>
        </w:tc>
        <w:tc>
          <w:tcPr>
            <w:tcW w:w="4717" w:type="dxa"/>
          </w:tcPr>
          <w:p w:rsidR="00FD7A71" w:rsidP="00BC29FF" w:rsidRDefault="00BD64E2" w14:paraId="2A98B6D0" w14:textId="3A31E541">
            <w:pPr>
              <w:jc w:val="center"/>
              <w:rPr>
                <w:sz w:val="24"/>
                <w:szCs w:val="24"/>
              </w:rPr>
            </w:pPr>
            <w:r>
              <w:rPr>
                <w:sz w:val="24"/>
                <w:szCs w:val="24"/>
              </w:rPr>
              <w:t>88,730</w:t>
            </w:r>
          </w:p>
        </w:tc>
      </w:tr>
      <w:tr w:rsidR="00FD7A71" w:rsidTr="00BC29FF" w14:paraId="2514672E" w14:textId="77777777">
        <w:tc>
          <w:tcPr>
            <w:tcW w:w="4983" w:type="dxa"/>
            <w:shd w:val="clear" w:color="auto" w:fill="92D050"/>
          </w:tcPr>
          <w:p w:rsidR="00FD7A71" w:rsidRDefault="00FD7A71" w14:paraId="7C5C60C0" w14:textId="77777777">
            <w:pPr>
              <w:rPr>
                <w:sz w:val="24"/>
                <w:szCs w:val="24"/>
              </w:rPr>
            </w:pPr>
            <w:r>
              <w:rPr>
                <w:sz w:val="24"/>
                <w:szCs w:val="24"/>
              </w:rPr>
              <w:t>Total</w:t>
            </w:r>
          </w:p>
        </w:tc>
        <w:tc>
          <w:tcPr>
            <w:tcW w:w="4717" w:type="dxa"/>
            <w:shd w:val="clear" w:color="auto" w:fill="92D050"/>
          </w:tcPr>
          <w:p w:rsidR="00FD7A71" w:rsidP="00BC29FF" w:rsidRDefault="00207E24" w14:paraId="7EF8AD11" w14:textId="781C51AA">
            <w:pPr>
              <w:jc w:val="center"/>
              <w:rPr>
                <w:sz w:val="24"/>
                <w:szCs w:val="24"/>
              </w:rPr>
            </w:pPr>
            <w:r>
              <w:rPr>
                <w:sz w:val="24"/>
                <w:szCs w:val="24"/>
              </w:rPr>
              <w:t>215,840</w:t>
            </w:r>
          </w:p>
        </w:tc>
      </w:tr>
    </w:tbl>
    <w:p w:rsidR="00FD7A71" w:rsidP="00DD6ECB" w:rsidRDefault="00FD7A71" w14:paraId="329FE66E" w14:textId="77777777">
      <w:pPr>
        <w:ind w:left="360"/>
      </w:pPr>
    </w:p>
    <w:p w:rsidRPr="003266B1" w:rsidR="00CA68F8" w:rsidP="00DD6ECB" w:rsidRDefault="00CA68F8" w14:paraId="04FC60AA" w14:textId="22C94687">
      <w:pPr>
        <w:ind w:left="360"/>
      </w:pPr>
      <w:r>
        <w:t>There is a solar PV array</w:t>
      </w:r>
      <w:r w:rsidR="000457C3">
        <w:t xml:space="preserve"> on the Peter Moorhead </w:t>
      </w:r>
      <w:r w:rsidR="009F1FEF">
        <w:t>unit,</w:t>
      </w:r>
      <w:r w:rsidR="000457C3">
        <w:t xml:space="preserve"> and this has been estimated</w:t>
      </w:r>
      <w:r w:rsidR="009F1FEF">
        <w:t xml:space="preserve"> as generating 22,673kWh</w:t>
      </w:r>
      <w:r w:rsidR="005023A9">
        <w:t xml:space="preserve">, which was included </w:t>
      </w:r>
      <w:r w:rsidR="00435275">
        <w:t>in th</w:t>
      </w:r>
      <w:r w:rsidR="009F1FEF">
        <w:t>e calculation as 8%.</w:t>
      </w:r>
    </w:p>
    <w:p w:rsidR="00AD2021" w:rsidP="00DD6ECB" w:rsidRDefault="00AD2021" w14:paraId="2EDBE5D7" w14:textId="69C6A6B0">
      <w:pPr>
        <w:ind w:left="360"/>
        <w:rPr>
          <w:b/>
          <w:bCs/>
          <w:color w:val="538135" w:themeColor="accent6" w:themeShade="BF"/>
        </w:rPr>
      </w:pPr>
      <w:r w:rsidRPr="003266B1">
        <w:t xml:space="preserve">The annual emissions associated with </w:t>
      </w:r>
      <w:r w:rsidRPr="003266B1" w:rsidR="00532E76">
        <w:t xml:space="preserve">utilities </w:t>
      </w:r>
      <w:r w:rsidRPr="003266B1" w:rsidR="000263B2">
        <w:t>(electricity</w:t>
      </w:r>
      <w:r w:rsidRPr="003266B1" w:rsidR="00532E76">
        <w:t xml:space="preserve"> &amp; heating) equates to </w:t>
      </w:r>
      <w:r w:rsidRPr="003266B1" w:rsidR="000263B2">
        <w:rPr>
          <w:b/>
          <w:bCs/>
          <w:color w:val="538135" w:themeColor="accent6" w:themeShade="BF"/>
        </w:rPr>
        <w:t>201,772</w:t>
      </w:r>
      <w:r w:rsidRPr="003266B1" w:rsidR="000263B2">
        <w:t xml:space="preserve"> </w:t>
      </w:r>
      <w:r w:rsidRPr="003266B1" w:rsidR="000263B2">
        <w:rPr>
          <w:b/>
          <w:bCs/>
          <w:color w:val="538135" w:themeColor="accent6" w:themeShade="BF"/>
        </w:rPr>
        <w:t>kgCO</w:t>
      </w:r>
      <w:r w:rsidRPr="003266B1" w:rsidR="000263B2">
        <w:rPr>
          <w:b/>
          <w:bCs/>
          <w:color w:val="538135" w:themeColor="accent6" w:themeShade="BF"/>
          <w:vertAlign w:val="subscript"/>
        </w:rPr>
        <w:t>2</w:t>
      </w:r>
      <w:r w:rsidRPr="003266B1" w:rsidR="000263B2">
        <w:rPr>
          <w:b/>
          <w:bCs/>
          <w:color w:val="538135" w:themeColor="accent6" w:themeShade="BF"/>
        </w:rPr>
        <w:t>e</w:t>
      </w:r>
    </w:p>
    <w:p w:rsidRPr="00FE72ED" w:rsidR="00D33382" w:rsidP="00475579" w:rsidRDefault="00C17BA7" w14:paraId="6F02C1FA" w14:textId="128C4BB3">
      <w:pPr>
        <w:ind w:left="360"/>
        <w:jc w:val="both"/>
      </w:pPr>
      <w:r w:rsidRPr="00C17BA7">
        <w:t xml:space="preserve">With the </w:t>
      </w:r>
      <w:r>
        <w:t xml:space="preserve">renal units not having individual </w:t>
      </w:r>
      <w:r w:rsidR="008A719F">
        <w:t>meters the figures used in this calculation are estimates</w:t>
      </w:r>
      <w:r w:rsidR="00A2167F">
        <w:t>. At this time none of the e</w:t>
      </w:r>
      <w:r w:rsidR="00191EF3">
        <w:t>lectricity is provided by a green energy supplier, however 8%</w:t>
      </w:r>
      <w:r w:rsidR="00D713B8">
        <w:t xml:space="preserve"> </w:t>
      </w:r>
      <w:r w:rsidR="00EE3294">
        <w:t>of the energy is generated via solar panels located around the STH site.</w:t>
      </w:r>
      <w:r w:rsidR="00E95788">
        <w:t xml:space="preserve"> </w:t>
      </w:r>
      <w:r w:rsidR="00AC5935">
        <w:t xml:space="preserve">Gas is used to provide heating for the renal </w:t>
      </w:r>
      <w:r w:rsidR="00DF639E">
        <w:t>wards</w:t>
      </w:r>
      <w:r w:rsidR="00AC5935">
        <w:t xml:space="preserve">. </w:t>
      </w:r>
      <w:r w:rsidR="00E95788">
        <w:t xml:space="preserve">To enable </w:t>
      </w:r>
      <w:r w:rsidR="00FE72ED">
        <w:t xml:space="preserve">the reduction in </w:t>
      </w:r>
      <w:r w:rsidR="00AD10A4">
        <w:t>energy</w:t>
      </w:r>
      <w:r w:rsidR="00DF639E">
        <w:t xml:space="preserve"> </w:t>
      </w:r>
      <w:r w:rsidR="00FE72ED">
        <w:t>use</w:t>
      </w:r>
      <w:r w:rsidR="00DF639E">
        <w:t>,</w:t>
      </w:r>
      <w:r w:rsidR="00FE72ED">
        <w:t xml:space="preserve"> the following recommendation w</w:t>
      </w:r>
      <w:r w:rsidR="00225D62">
        <w:t xml:space="preserve">as </w:t>
      </w:r>
      <w:r w:rsidR="00FE72ED">
        <w:t>made:</w:t>
      </w:r>
    </w:p>
    <w:p w:rsidRPr="00AD10A4" w:rsidR="00D33382" w:rsidP="00475579" w:rsidRDefault="00FE72ED" w14:paraId="2A93DD47" w14:textId="0D1921AB">
      <w:pPr>
        <w:pStyle w:val="ListParagraph"/>
        <w:numPr>
          <w:ilvl w:val="0"/>
          <w:numId w:val="36"/>
        </w:numPr>
        <w:ind w:left="709"/>
        <w:jc w:val="both"/>
        <w:rPr>
          <w:b/>
          <w:bCs/>
          <w:color w:val="538135" w:themeColor="accent6" w:themeShade="BF"/>
        </w:rPr>
      </w:pPr>
      <w:r w:rsidRPr="00AD10A4">
        <w:rPr>
          <w:b/>
          <w:bCs/>
          <w:color w:val="538135" w:themeColor="accent6" w:themeShade="BF"/>
        </w:rPr>
        <w:t xml:space="preserve">Engage with </w:t>
      </w:r>
      <w:r w:rsidR="002F0EED">
        <w:rPr>
          <w:b/>
          <w:bCs/>
          <w:color w:val="538135" w:themeColor="accent6" w:themeShade="BF"/>
        </w:rPr>
        <w:t>E</w:t>
      </w:r>
      <w:r w:rsidRPr="00AD10A4">
        <w:rPr>
          <w:b/>
          <w:bCs/>
          <w:color w:val="538135" w:themeColor="accent6" w:themeShade="BF"/>
        </w:rPr>
        <w:t xml:space="preserve">states to </w:t>
      </w:r>
      <w:r w:rsidRPr="00AD10A4" w:rsidR="00F47411">
        <w:rPr>
          <w:b/>
          <w:bCs/>
          <w:color w:val="538135" w:themeColor="accent6" w:themeShade="BF"/>
        </w:rPr>
        <w:t>assess whether metering could be undertaken, this will allow improved data m</w:t>
      </w:r>
      <w:r w:rsidRPr="00AD10A4" w:rsidR="00AD10A4">
        <w:rPr>
          <w:b/>
          <w:bCs/>
          <w:color w:val="538135" w:themeColor="accent6" w:themeShade="BF"/>
        </w:rPr>
        <w:t>etrics and provide a more accurate baseline.</w:t>
      </w:r>
      <w:r w:rsidR="00841418">
        <w:rPr>
          <w:b/>
          <w:bCs/>
          <w:color w:val="538135" w:themeColor="accent6" w:themeShade="BF"/>
        </w:rPr>
        <w:t xml:space="preserve"> Agreement would be required to provide monthly data to demonstrate the impact of </w:t>
      </w:r>
      <w:r w:rsidR="001F5783">
        <w:rPr>
          <w:b/>
          <w:bCs/>
          <w:color w:val="538135" w:themeColor="accent6" w:themeShade="BF"/>
        </w:rPr>
        <w:t>any changes made. This would include staff education, ensuring that lights are switched off and machines powered down when not in use.</w:t>
      </w:r>
    </w:p>
    <w:p w:rsidRPr="003266B1" w:rsidR="00D717BA" w:rsidP="00475579" w:rsidRDefault="00D717BA" w14:paraId="7C80B4E2" w14:textId="77777777">
      <w:pPr>
        <w:ind w:left="360"/>
        <w:jc w:val="both"/>
      </w:pPr>
    </w:p>
    <w:p w:rsidRPr="00F062F8" w:rsidR="00576237" w:rsidP="00FD0F85" w:rsidRDefault="00576237" w14:paraId="4F9DFBE5" w14:textId="67B163D8">
      <w:pPr>
        <w:pStyle w:val="ListParagraph"/>
        <w:numPr>
          <w:ilvl w:val="1"/>
          <w:numId w:val="30"/>
        </w:numPr>
        <w:ind w:left="709" w:hanging="567"/>
        <w:rPr>
          <w:b/>
          <w:bCs/>
          <w:color w:val="538135" w:themeColor="accent6" w:themeShade="BF"/>
          <w:sz w:val="24"/>
          <w:szCs w:val="24"/>
        </w:rPr>
      </w:pPr>
      <w:r w:rsidRPr="00F062F8">
        <w:rPr>
          <w:b/>
          <w:bCs/>
          <w:color w:val="538135" w:themeColor="accent6" w:themeShade="BF"/>
          <w:sz w:val="24"/>
          <w:szCs w:val="24"/>
        </w:rPr>
        <w:t xml:space="preserve">Waste </w:t>
      </w:r>
    </w:p>
    <w:p w:rsidR="00576237" w:rsidP="56D6C4DB" w:rsidRDefault="001D76D7" w14:paraId="7169EDB9" w14:textId="0DD86952">
      <w:pPr>
        <w:ind w:left="360"/>
        <w:rPr>
          <w:sz w:val="24"/>
          <w:szCs w:val="24"/>
        </w:rPr>
      </w:pPr>
      <w:r w:rsidRPr="003266B1">
        <w:t>The waste was e</w:t>
      </w:r>
      <w:r w:rsidRPr="003266B1" w:rsidR="187607E9">
        <w:t>stimated from</w:t>
      </w:r>
      <w:r w:rsidR="00CC0CE1">
        <w:t xml:space="preserve"> a</w:t>
      </w:r>
      <w:r w:rsidRPr="003266B1" w:rsidR="187607E9">
        <w:t xml:space="preserve"> bag </w:t>
      </w:r>
      <w:r w:rsidRPr="003266B1" w:rsidR="00F74434">
        <w:t>count on</w:t>
      </w:r>
      <w:r w:rsidRPr="003266B1" w:rsidR="00345512">
        <w:t xml:space="preserve"> Renal Unit G </w:t>
      </w:r>
      <w:r w:rsidRPr="003266B1" w:rsidR="187607E9">
        <w:t>and extrapolated to include</w:t>
      </w:r>
      <w:r w:rsidR="00CC0CE1">
        <w:t xml:space="preserve"> the</w:t>
      </w:r>
      <w:r w:rsidRPr="003266B1" w:rsidR="187607E9">
        <w:t xml:space="preserve"> other </w:t>
      </w:r>
      <w:r w:rsidR="00CC67B3">
        <w:t>wards</w:t>
      </w:r>
      <w:r w:rsidRPr="003266B1" w:rsidR="00345512">
        <w:t xml:space="preserve">. The table below demonstrates the </w:t>
      </w:r>
      <w:r w:rsidRPr="003266B1" w:rsidR="00F74434">
        <w:t>waste type and associated emissions factors</w:t>
      </w:r>
      <w:r w:rsidR="00F74434">
        <w:rPr>
          <w:sz w:val="24"/>
          <w:szCs w:val="24"/>
        </w:rPr>
        <w:t>.</w:t>
      </w:r>
    </w:p>
    <w:tbl>
      <w:tblPr>
        <w:tblW w:w="9639" w:type="dxa"/>
        <w:tblInd w:w="421" w:type="dxa"/>
        <w:tblLayout w:type="fixed"/>
        <w:tblLook w:val="06A0" w:firstRow="1" w:lastRow="0" w:firstColumn="1" w:lastColumn="0" w:noHBand="1" w:noVBand="1"/>
      </w:tblPr>
      <w:tblGrid>
        <w:gridCol w:w="1134"/>
        <w:gridCol w:w="850"/>
        <w:gridCol w:w="851"/>
        <w:gridCol w:w="992"/>
        <w:gridCol w:w="992"/>
        <w:gridCol w:w="992"/>
        <w:gridCol w:w="851"/>
        <w:gridCol w:w="1134"/>
        <w:gridCol w:w="1843"/>
      </w:tblGrid>
      <w:tr w:rsidRPr="00E919ED" w:rsidR="007E2C64" w:rsidTr="00113FE4" w14:paraId="642A9E7E"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60801800" w14:textId="3558FD8B">
            <w:pPr>
              <w:spacing w:after="0"/>
              <w:rPr>
                <w:sz w:val="18"/>
                <w:szCs w:val="18"/>
              </w:rPr>
            </w:pPr>
            <w:r w:rsidRPr="00E919ED">
              <w:rPr>
                <w:rFonts w:ascii="Calibri" w:hAnsi="Calibri" w:eastAsia="Calibri" w:cs="Calibri"/>
                <w:color w:val="FFFFFF" w:themeColor="background1"/>
                <w:sz w:val="18"/>
                <w:szCs w:val="18"/>
              </w:rPr>
              <w:t>Renal Unit G</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2D259DC1" w14:textId="77777777">
            <w:pPr>
              <w:spacing w:after="0"/>
              <w:rPr>
                <w:sz w:val="18"/>
                <w:szCs w:val="18"/>
              </w:rPr>
            </w:pPr>
            <w:r w:rsidRPr="00E919ED">
              <w:rPr>
                <w:rFonts w:ascii="Calibri" w:hAnsi="Calibri" w:eastAsia="Calibri" w:cs="Calibri"/>
                <w:color w:val="FFFFFF" w:themeColor="background1"/>
                <w:sz w:val="18"/>
                <w:szCs w:val="18"/>
              </w:rPr>
              <w:t>Bags per day/ week</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1721C238" w14:textId="77777777">
            <w:pPr>
              <w:spacing w:after="0"/>
              <w:rPr>
                <w:sz w:val="18"/>
                <w:szCs w:val="18"/>
              </w:rPr>
            </w:pPr>
            <w:r w:rsidRPr="00E919ED">
              <w:rPr>
                <w:rFonts w:ascii="Calibri" w:hAnsi="Calibri" w:eastAsia="Calibri" w:cs="Calibri"/>
                <w:color w:val="FFFFFF" w:themeColor="background1"/>
                <w:sz w:val="18"/>
                <w:szCs w:val="18"/>
              </w:rPr>
              <w:t>average weight kg</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5248E4D" w14:textId="55A5B717">
            <w:pPr>
              <w:spacing w:after="0"/>
              <w:rPr>
                <w:sz w:val="18"/>
                <w:szCs w:val="18"/>
              </w:rPr>
            </w:pPr>
            <w:r w:rsidRPr="00E919ED">
              <w:rPr>
                <w:rFonts w:ascii="Calibri" w:hAnsi="Calibri" w:eastAsia="Calibri" w:cs="Calibri"/>
                <w:color w:val="FFFFFF" w:themeColor="background1"/>
                <w:sz w:val="18"/>
                <w:szCs w:val="18"/>
              </w:rPr>
              <w:t xml:space="preserve">Total weight Kg </w:t>
            </w:r>
            <w:r w:rsidRPr="00E919ED" w:rsidR="008D3F67">
              <w:rPr>
                <w:rFonts w:ascii="Calibri" w:hAnsi="Calibri" w:eastAsia="Calibri" w:cs="Calibri"/>
                <w:color w:val="FFFFFF" w:themeColor="background1"/>
                <w:sz w:val="18"/>
                <w:szCs w:val="18"/>
              </w:rPr>
              <w:t>(daily</w:t>
            </w:r>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6673DD0A" w14:textId="77777777">
            <w:pPr>
              <w:spacing w:after="0"/>
              <w:rPr>
                <w:sz w:val="18"/>
                <w:szCs w:val="18"/>
              </w:rPr>
            </w:pPr>
            <w:r w:rsidRPr="00E919ED">
              <w:rPr>
                <w:rFonts w:ascii="Calibri" w:hAnsi="Calibri" w:eastAsia="Calibri" w:cs="Calibri"/>
                <w:color w:val="FFFFFF" w:themeColor="background1"/>
                <w:sz w:val="18"/>
                <w:szCs w:val="18"/>
              </w:rPr>
              <w:t xml:space="preserve">Total weight kg </w:t>
            </w:r>
            <w:proofErr w:type="gramStart"/>
            <w:r w:rsidRPr="00E919ED">
              <w:rPr>
                <w:rFonts w:ascii="Calibri" w:hAnsi="Calibri" w:eastAsia="Calibri" w:cs="Calibri"/>
                <w:color w:val="FFFFFF" w:themeColor="background1"/>
                <w:sz w:val="18"/>
                <w:szCs w:val="18"/>
              </w:rPr>
              <w:t>( weekly</w:t>
            </w:r>
            <w:proofErr w:type="gramEnd"/>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5F3A3E6" w14:textId="77777777">
            <w:pPr>
              <w:spacing w:after="0"/>
              <w:rPr>
                <w:sz w:val="18"/>
                <w:szCs w:val="18"/>
              </w:rPr>
            </w:pPr>
            <w:r w:rsidRPr="00E919ED">
              <w:rPr>
                <w:rFonts w:ascii="Calibri" w:hAnsi="Calibri" w:eastAsia="Calibri" w:cs="Calibri"/>
                <w:color w:val="FFFFFF" w:themeColor="background1"/>
                <w:sz w:val="18"/>
                <w:szCs w:val="18"/>
              </w:rPr>
              <w:t>Mixed waste recovery kg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6EE36B2B" w14:textId="77777777">
            <w:pPr>
              <w:spacing w:after="0"/>
              <w:rPr>
                <w:sz w:val="18"/>
                <w:szCs w:val="18"/>
              </w:rPr>
            </w:pPr>
            <w:r w:rsidRPr="00E919ED">
              <w:rPr>
                <w:rFonts w:ascii="Calibri" w:hAnsi="Calibri" w:eastAsia="Calibri" w:cs="Calibri"/>
                <w:color w:val="FFFFFF" w:themeColor="background1"/>
                <w:sz w:val="18"/>
                <w:szCs w:val="18"/>
              </w:rPr>
              <w:t>clinical waste kg</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25934ECD" w14:textId="61CBA3C0">
            <w:pPr>
              <w:spacing w:after="0"/>
              <w:rPr>
                <w:rFonts w:ascii="Calibri" w:hAnsi="Calibri" w:eastAsia="Calibri" w:cs="Calibri"/>
                <w:color w:val="FFFFFF" w:themeColor="background1"/>
                <w:sz w:val="18"/>
                <w:szCs w:val="18"/>
              </w:rPr>
            </w:pPr>
            <w:r w:rsidRPr="00E919ED">
              <w:rPr>
                <w:rFonts w:ascii="Calibri" w:hAnsi="Calibri" w:eastAsia="Calibri" w:cs="Calibri"/>
                <w:color w:val="FFFFFF" w:themeColor="background1"/>
                <w:sz w:val="18"/>
                <w:szCs w:val="18"/>
              </w:rPr>
              <w:t>paper to incineration kg</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1F42E3D1" w14:textId="77777777">
            <w:pPr>
              <w:spacing w:after="0"/>
              <w:rPr>
                <w:sz w:val="18"/>
                <w:szCs w:val="18"/>
              </w:rPr>
            </w:pPr>
            <w:r w:rsidRPr="00E919ED">
              <w:rPr>
                <w:rFonts w:ascii="Calibri" w:hAnsi="Calibri" w:eastAsia="Calibri" w:cs="Calibri"/>
                <w:color w:val="FFFFFF" w:themeColor="background1"/>
                <w:sz w:val="18"/>
                <w:szCs w:val="18"/>
              </w:rPr>
              <w:t>Notes</w:t>
            </w:r>
          </w:p>
        </w:tc>
      </w:tr>
      <w:tr w:rsidRPr="00E919ED" w:rsidR="00B96C60" w:rsidTr="00113FE4" w14:paraId="5ED7B1C4"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20F323F" w14:textId="77777777">
            <w:pPr>
              <w:spacing w:after="0"/>
              <w:rPr>
                <w:sz w:val="18"/>
                <w:szCs w:val="18"/>
              </w:rPr>
            </w:pPr>
            <w:r w:rsidRPr="00E919ED">
              <w:rPr>
                <w:rFonts w:ascii="Calibri" w:hAnsi="Calibri" w:eastAsia="Calibri" w:cs="Calibri"/>
                <w:color w:val="000000" w:themeColor="text1"/>
                <w:sz w:val="18"/>
                <w:szCs w:val="18"/>
              </w:rPr>
              <w:t>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C077900" w14:textId="77777777">
            <w:pPr>
              <w:spacing w:after="0"/>
              <w:rPr>
                <w:sz w:val="18"/>
                <w:szCs w:val="18"/>
              </w:rPr>
            </w:pPr>
            <w:r w:rsidRPr="00E919ED">
              <w:rPr>
                <w:rFonts w:ascii="Calibri" w:hAnsi="Calibri" w:eastAsia="Calibri" w:cs="Calibri"/>
                <w:color w:val="000000" w:themeColor="text1"/>
                <w:sz w:val="18"/>
                <w:szCs w:val="18"/>
              </w:rPr>
              <w:t>10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5B9ADDF" w14:textId="77777777">
            <w:pPr>
              <w:spacing w:after="0"/>
              <w:rPr>
                <w:sz w:val="18"/>
                <w:szCs w:val="18"/>
              </w:rPr>
            </w:pPr>
            <w:r w:rsidRPr="00E919ED">
              <w:rPr>
                <w:rFonts w:ascii="Calibri" w:hAnsi="Calibri" w:eastAsia="Calibri" w:cs="Calibri"/>
                <w:color w:val="000000" w:themeColor="text1"/>
                <w:sz w:val="18"/>
                <w:szCs w:val="18"/>
              </w:rPr>
              <w:t>2</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F5018AF" w14:textId="77777777">
            <w:pPr>
              <w:spacing w:after="0"/>
              <w:rPr>
                <w:sz w:val="18"/>
                <w:szCs w:val="18"/>
              </w:rPr>
            </w:pPr>
            <w:r w:rsidRPr="00E919ED">
              <w:rPr>
                <w:rFonts w:ascii="Calibri" w:hAnsi="Calibri" w:eastAsia="Calibri" w:cs="Calibri"/>
                <w:color w:val="000000" w:themeColor="text1"/>
                <w:sz w:val="18"/>
                <w:szCs w:val="18"/>
              </w:rPr>
              <w:t>20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ECFAECB"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0716494" w14:textId="77777777">
            <w:pPr>
              <w:spacing w:after="0"/>
              <w:rPr>
                <w:sz w:val="18"/>
                <w:szCs w:val="18"/>
              </w:rPr>
            </w:pPr>
            <w:r w:rsidRPr="00E919ED">
              <w:rPr>
                <w:rFonts w:ascii="Calibri" w:hAnsi="Calibri" w:eastAsia="Calibri" w:cs="Calibri"/>
                <w:color w:val="000000" w:themeColor="text1"/>
                <w:sz w:val="18"/>
                <w:szCs w:val="18"/>
              </w:rPr>
              <w:t>6240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92C82DE"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BA5574A"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1128727"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3AA28FBC"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CB9ACD" w14:textId="77777777">
            <w:pPr>
              <w:spacing w:after="0"/>
              <w:rPr>
                <w:sz w:val="18"/>
                <w:szCs w:val="18"/>
              </w:rPr>
            </w:pPr>
            <w:r w:rsidRPr="00E919ED">
              <w:rPr>
                <w:rFonts w:ascii="Calibri" w:hAnsi="Calibri" w:eastAsia="Calibri" w:cs="Calibri"/>
                <w:color w:val="000000" w:themeColor="text1"/>
                <w:sz w:val="18"/>
                <w:szCs w:val="18"/>
              </w:rPr>
              <w:t>Tiger stripe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4FE61D9" w14:textId="77777777">
            <w:pPr>
              <w:spacing w:after="0"/>
              <w:rPr>
                <w:sz w:val="18"/>
                <w:szCs w:val="18"/>
              </w:rPr>
            </w:pPr>
            <w:r w:rsidRPr="00E919ED">
              <w:rPr>
                <w:rFonts w:ascii="Calibri" w:hAnsi="Calibri" w:eastAsia="Calibri" w:cs="Calibri"/>
                <w:color w:val="000000" w:themeColor="text1"/>
                <w:sz w:val="18"/>
                <w:szCs w:val="18"/>
              </w:rPr>
              <w:t>25</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DFC7E3A" w14:textId="77777777">
            <w:pPr>
              <w:spacing w:after="0"/>
              <w:rPr>
                <w:sz w:val="18"/>
                <w:szCs w:val="18"/>
              </w:rPr>
            </w:pPr>
            <w:r w:rsidRPr="00E919ED">
              <w:rPr>
                <w:rFonts w:ascii="Calibri" w:hAnsi="Calibri" w:eastAsia="Calibri" w:cs="Calibri"/>
                <w:color w:val="000000" w:themeColor="text1"/>
                <w:sz w:val="18"/>
                <w:szCs w:val="18"/>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A8339FB" w14:textId="77777777">
            <w:pPr>
              <w:spacing w:after="0"/>
              <w:rPr>
                <w:sz w:val="18"/>
                <w:szCs w:val="18"/>
              </w:rPr>
            </w:pPr>
            <w:r w:rsidRPr="00E919ED">
              <w:rPr>
                <w:rFonts w:ascii="Calibri" w:hAnsi="Calibri" w:eastAsia="Calibri" w:cs="Calibri"/>
                <w:color w:val="000000" w:themeColor="text1"/>
                <w:sz w:val="18"/>
                <w:szCs w:val="18"/>
              </w:rPr>
              <w:t>75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75433E4"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4578645"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CC6FA1C" w14:textId="77777777">
            <w:pPr>
              <w:spacing w:after="0"/>
              <w:rPr>
                <w:sz w:val="18"/>
                <w:szCs w:val="18"/>
              </w:rPr>
            </w:pPr>
            <w:r w:rsidRPr="00E919ED">
              <w:rPr>
                <w:rFonts w:ascii="Calibri" w:hAnsi="Calibri" w:eastAsia="Calibri" w:cs="Calibri"/>
                <w:color w:val="000000" w:themeColor="text1"/>
                <w:sz w:val="18"/>
                <w:szCs w:val="18"/>
              </w:rPr>
              <w:t>23400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875AD02"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57AFF57"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7D79C25A"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71050E" w14:textId="77777777">
            <w:pPr>
              <w:spacing w:after="0"/>
              <w:rPr>
                <w:sz w:val="18"/>
                <w:szCs w:val="18"/>
              </w:rPr>
            </w:pPr>
            <w:r w:rsidRPr="00E919ED">
              <w:rPr>
                <w:rFonts w:ascii="Calibri" w:hAnsi="Calibri" w:eastAsia="Calibri" w:cs="Calibri"/>
                <w:color w:val="000000" w:themeColor="text1"/>
                <w:sz w:val="18"/>
                <w:szCs w:val="18"/>
              </w:rPr>
              <w:t>small 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FDB90D3" w14:textId="77777777">
            <w:pPr>
              <w:spacing w:after="0"/>
              <w:rPr>
                <w:sz w:val="18"/>
                <w:szCs w:val="18"/>
              </w:rPr>
            </w:pPr>
            <w:r w:rsidRPr="00E919ED">
              <w:rPr>
                <w:rFonts w:ascii="Calibri" w:hAnsi="Calibri" w:eastAsia="Calibri" w:cs="Calibri"/>
                <w:color w:val="000000" w:themeColor="text1"/>
                <w:sz w:val="18"/>
                <w:szCs w:val="18"/>
              </w:rPr>
              <w:t>3</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54FC4F9" w14:textId="77777777">
            <w:pPr>
              <w:spacing w:after="0"/>
              <w:rPr>
                <w:sz w:val="18"/>
                <w:szCs w:val="18"/>
              </w:rPr>
            </w:pPr>
            <w:r w:rsidRPr="00E919ED">
              <w:rPr>
                <w:rFonts w:ascii="Calibri" w:hAnsi="Calibri" w:eastAsia="Calibri" w:cs="Calibri"/>
                <w:color w:val="000000" w:themeColor="text1"/>
                <w:sz w:val="18"/>
                <w:szCs w:val="18"/>
              </w:rPr>
              <w:t>1</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0444186" w14:textId="77777777">
            <w:pPr>
              <w:spacing w:after="0"/>
              <w:rPr>
                <w:sz w:val="18"/>
                <w:szCs w:val="18"/>
              </w:rPr>
            </w:pPr>
            <w:r w:rsidRPr="00E919ED">
              <w:rPr>
                <w:rFonts w:ascii="Calibri" w:hAnsi="Calibri" w:eastAsia="Calibri" w:cs="Calibri"/>
                <w:color w:val="000000" w:themeColor="text1"/>
                <w:sz w:val="18"/>
                <w:szCs w:val="18"/>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5928CF1"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235DC88" w14:textId="77777777">
            <w:pPr>
              <w:spacing w:after="0"/>
              <w:rPr>
                <w:sz w:val="18"/>
                <w:szCs w:val="18"/>
              </w:rPr>
            </w:pPr>
            <w:r w:rsidRPr="00E919ED">
              <w:rPr>
                <w:rFonts w:ascii="Calibri" w:hAnsi="Calibri" w:eastAsia="Calibri" w:cs="Calibri"/>
                <w:color w:val="000000" w:themeColor="text1"/>
                <w:sz w:val="18"/>
                <w:szCs w:val="18"/>
              </w:rPr>
              <w:t>936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75A2539"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852D10D"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C2AB54B"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1DEB4A49"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321FB2B" w14:textId="77777777">
            <w:pPr>
              <w:spacing w:after="0"/>
              <w:rPr>
                <w:sz w:val="18"/>
                <w:szCs w:val="18"/>
              </w:rPr>
            </w:pPr>
            <w:r w:rsidRPr="00E919ED">
              <w:rPr>
                <w:rFonts w:ascii="Calibri" w:hAnsi="Calibri" w:eastAsia="Calibri" w:cs="Calibri"/>
                <w:color w:val="000000" w:themeColor="text1"/>
                <w:sz w:val="18"/>
                <w:szCs w:val="18"/>
              </w:rPr>
              <w:t>Sharps- S14</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AD7FDC" w14:textId="77777777">
            <w:pPr>
              <w:spacing w:after="0"/>
              <w:rPr>
                <w:sz w:val="18"/>
                <w:szCs w:val="18"/>
              </w:rPr>
            </w:pPr>
            <w:r w:rsidRPr="00E919ED">
              <w:rPr>
                <w:rFonts w:ascii="Calibri" w:hAnsi="Calibri" w:eastAsia="Calibri" w:cs="Calibri"/>
                <w:color w:val="000000" w:themeColor="text1"/>
                <w:sz w:val="18"/>
                <w:szCs w:val="18"/>
              </w:rPr>
              <w:t>1.5</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00EC93A" w14:textId="77777777">
            <w:pPr>
              <w:spacing w:after="0"/>
              <w:rPr>
                <w:sz w:val="18"/>
                <w:szCs w:val="18"/>
              </w:rPr>
            </w:pPr>
            <w:r w:rsidRPr="00E919ED">
              <w:rPr>
                <w:rFonts w:ascii="Calibri" w:hAnsi="Calibri" w:eastAsia="Calibri" w:cs="Calibri"/>
                <w:color w:val="000000" w:themeColor="text1"/>
                <w:sz w:val="18"/>
                <w:szCs w:val="18"/>
              </w:rPr>
              <w:t>1.3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24A99A7"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2F55E80" w14:textId="77777777">
            <w:pPr>
              <w:spacing w:after="0"/>
              <w:rPr>
                <w:sz w:val="18"/>
                <w:szCs w:val="18"/>
              </w:rPr>
            </w:pPr>
            <w:r w:rsidRPr="00E919ED">
              <w:rPr>
                <w:rFonts w:ascii="Calibri" w:hAnsi="Calibri" w:eastAsia="Calibri" w:cs="Calibri"/>
                <w:color w:val="000000" w:themeColor="text1"/>
                <w:sz w:val="18"/>
                <w:szCs w:val="18"/>
              </w:rPr>
              <w:t>1.95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A37559A"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7DBCD96" w14:textId="77777777">
            <w:pPr>
              <w:spacing w:after="0"/>
              <w:rPr>
                <w:sz w:val="18"/>
                <w:szCs w:val="18"/>
              </w:rPr>
            </w:pPr>
            <w:r w:rsidRPr="00E919ED">
              <w:rPr>
                <w:rFonts w:ascii="Calibri" w:hAnsi="Calibri" w:eastAsia="Calibri" w:cs="Calibri"/>
                <w:color w:val="000000" w:themeColor="text1"/>
                <w:sz w:val="18"/>
                <w:szCs w:val="18"/>
              </w:rPr>
              <w:t>101.4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66AC8C2"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9A4AF70"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20466A3A"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68D89E4" w14:textId="77777777">
            <w:pPr>
              <w:spacing w:after="0"/>
              <w:rPr>
                <w:sz w:val="18"/>
                <w:szCs w:val="18"/>
              </w:rPr>
            </w:pPr>
            <w:r w:rsidRPr="00E919ED">
              <w:rPr>
                <w:rFonts w:ascii="Calibri" w:hAnsi="Calibri" w:eastAsia="Calibri" w:cs="Calibri"/>
                <w:color w:val="000000" w:themeColor="text1"/>
                <w:sz w:val="18"/>
                <w:szCs w:val="18"/>
              </w:rPr>
              <w:t>Sharps-s 22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EEFD295" w14:textId="77777777">
            <w:pPr>
              <w:spacing w:after="0"/>
              <w:rPr>
                <w:sz w:val="18"/>
                <w:szCs w:val="18"/>
              </w:rPr>
            </w:pPr>
            <w:r w:rsidRPr="00E919ED">
              <w:rPr>
                <w:rFonts w:ascii="Calibri" w:hAnsi="Calibri" w:eastAsia="Calibri" w:cs="Calibri"/>
                <w:color w:val="000000" w:themeColor="text1"/>
                <w:sz w:val="18"/>
                <w:szCs w:val="18"/>
              </w:rPr>
              <w:t>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16E8768" w14:textId="77777777">
            <w:pPr>
              <w:spacing w:after="0"/>
              <w:rPr>
                <w:sz w:val="18"/>
                <w:szCs w:val="18"/>
              </w:rPr>
            </w:pPr>
            <w:r w:rsidRPr="00E919ED">
              <w:rPr>
                <w:rFonts w:ascii="Calibri" w:hAnsi="Calibri" w:eastAsia="Calibri" w:cs="Calibri"/>
                <w:color w:val="000000" w:themeColor="text1"/>
                <w:sz w:val="18"/>
                <w:szCs w:val="18"/>
              </w:rPr>
              <w:t>2.5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84D5C1F"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AD40C12" w14:textId="77777777">
            <w:pPr>
              <w:spacing w:after="0"/>
              <w:rPr>
                <w:sz w:val="18"/>
                <w:szCs w:val="18"/>
              </w:rPr>
            </w:pPr>
            <w:r w:rsidRPr="00E919ED">
              <w:rPr>
                <w:rFonts w:ascii="Calibri" w:hAnsi="Calibri" w:eastAsia="Calibri" w:cs="Calibri"/>
                <w:color w:val="000000" w:themeColor="text1"/>
                <w:sz w:val="18"/>
                <w:szCs w:val="18"/>
              </w:rPr>
              <w:t>15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3DFDD4A"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39360C" w14:textId="77777777">
            <w:pPr>
              <w:spacing w:after="0"/>
              <w:rPr>
                <w:sz w:val="18"/>
                <w:szCs w:val="18"/>
              </w:rPr>
            </w:pPr>
            <w:r w:rsidRPr="00E919ED">
              <w:rPr>
                <w:rFonts w:ascii="Calibri" w:hAnsi="Calibri" w:eastAsia="Calibri" w:cs="Calibri"/>
                <w:color w:val="000000" w:themeColor="text1"/>
                <w:sz w:val="18"/>
                <w:szCs w:val="18"/>
              </w:rPr>
              <w:t>780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3DB6637"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2ED2F8F"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3AEDE4F4"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865EE6A" w14:textId="77777777">
            <w:pPr>
              <w:spacing w:after="0"/>
              <w:rPr>
                <w:sz w:val="18"/>
                <w:szCs w:val="18"/>
              </w:rPr>
            </w:pPr>
            <w:r w:rsidRPr="00E919ED">
              <w:rPr>
                <w:rFonts w:ascii="Calibri" w:hAnsi="Calibri" w:eastAsia="Calibri" w:cs="Calibri"/>
                <w:color w:val="000000" w:themeColor="text1"/>
                <w:sz w:val="18"/>
                <w:szCs w:val="18"/>
              </w:rPr>
              <w:t>Sharps s-32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782CF5" w14:textId="77777777">
            <w:pPr>
              <w:spacing w:after="0"/>
              <w:rPr>
                <w:sz w:val="18"/>
                <w:szCs w:val="18"/>
              </w:rPr>
            </w:pPr>
            <w:r w:rsidRPr="00E919ED">
              <w:rPr>
                <w:rFonts w:ascii="Calibri" w:hAnsi="Calibri" w:eastAsia="Calibri" w:cs="Calibri"/>
                <w:color w:val="000000" w:themeColor="text1"/>
                <w:sz w:val="18"/>
                <w:szCs w:val="18"/>
              </w:rPr>
              <w:t>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2615B50" w14:textId="77777777">
            <w:pPr>
              <w:spacing w:after="0"/>
              <w:rPr>
                <w:sz w:val="18"/>
                <w:szCs w:val="18"/>
              </w:rPr>
            </w:pPr>
            <w:r w:rsidRPr="00E919ED">
              <w:rPr>
                <w:rFonts w:ascii="Calibri" w:hAnsi="Calibri" w:eastAsia="Calibri" w:cs="Calibri"/>
                <w:color w:val="000000" w:themeColor="text1"/>
                <w:sz w:val="18"/>
                <w:szCs w:val="18"/>
              </w:rPr>
              <w:t>6.4</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BF901A0"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AC030BE" w14:textId="77777777">
            <w:pPr>
              <w:spacing w:after="0"/>
              <w:rPr>
                <w:sz w:val="18"/>
                <w:szCs w:val="18"/>
              </w:rPr>
            </w:pPr>
            <w:r w:rsidRPr="00E919ED">
              <w:rPr>
                <w:rFonts w:ascii="Calibri" w:hAnsi="Calibri" w:eastAsia="Calibri" w:cs="Calibri"/>
                <w:color w:val="000000" w:themeColor="text1"/>
                <w:sz w:val="18"/>
                <w:szCs w:val="18"/>
              </w:rPr>
              <w:t>6.4</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A1AA5CB"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B571C22" w14:textId="77777777">
            <w:pPr>
              <w:spacing w:after="0"/>
              <w:rPr>
                <w:sz w:val="18"/>
                <w:szCs w:val="18"/>
              </w:rPr>
            </w:pPr>
            <w:r w:rsidRPr="00E919ED">
              <w:rPr>
                <w:rFonts w:ascii="Calibri" w:hAnsi="Calibri" w:eastAsia="Calibri" w:cs="Calibri"/>
                <w:color w:val="000000" w:themeColor="text1"/>
                <w:sz w:val="18"/>
                <w:szCs w:val="18"/>
              </w:rPr>
              <w:t>332.8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7DF37D1" w14:textId="77777777">
            <w:pPr>
              <w:spacing w:after="0"/>
              <w:rPr>
                <w:sz w:val="18"/>
                <w:szCs w:val="18"/>
              </w:rPr>
            </w:pPr>
            <w:r w:rsidRPr="00E919ED">
              <w:rPr>
                <w:rFonts w:ascii="Calibri" w:hAnsi="Calibri" w:eastAsia="Calibri" w:cs="Calibri"/>
                <w:color w:val="000000" w:themeColor="text1"/>
                <w:sz w:val="18"/>
                <w:szCs w:val="18"/>
              </w:rPr>
              <w:t>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6D233F"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61C10833"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3753FE7" w14:textId="77777777">
            <w:pPr>
              <w:spacing w:after="0"/>
              <w:rPr>
                <w:sz w:val="18"/>
                <w:szCs w:val="18"/>
              </w:rPr>
            </w:pPr>
            <w:r w:rsidRPr="00E919ED">
              <w:rPr>
                <w:rFonts w:ascii="Calibri" w:hAnsi="Calibri" w:eastAsia="Calibri" w:cs="Calibri"/>
                <w:color w:val="000000" w:themeColor="text1"/>
                <w:sz w:val="18"/>
                <w:szCs w:val="18"/>
              </w:rPr>
              <w:lastRenderedPageBreak/>
              <w:t>Confidential waste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42163E6" w14:textId="77777777">
            <w:pPr>
              <w:spacing w:after="0"/>
              <w:rPr>
                <w:sz w:val="18"/>
                <w:szCs w:val="18"/>
              </w:rPr>
            </w:pPr>
            <w:r w:rsidRPr="00E919ED">
              <w:rPr>
                <w:rFonts w:ascii="Calibri" w:hAnsi="Calibri" w:eastAsia="Calibri" w:cs="Calibri"/>
                <w:color w:val="000000" w:themeColor="text1"/>
                <w:sz w:val="18"/>
                <w:szCs w:val="18"/>
              </w:rPr>
              <w:t>2</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002465F" w14:textId="77777777">
            <w:pPr>
              <w:spacing w:after="0"/>
              <w:rPr>
                <w:sz w:val="18"/>
                <w:szCs w:val="18"/>
              </w:rPr>
            </w:pPr>
            <w:r w:rsidRPr="00E919ED">
              <w:rPr>
                <w:rFonts w:ascii="Calibri" w:hAnsi="Calibri" w:eastAsia="Calibri" w:cs="Calibri"/>
                <w:color w:val="000000" w:themeColor="text1"/>
                <w:sz w:val="18"/>
                <w:szCs w:val="18"/>
              </w:rPr>
              <w:t>10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2527FDC"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1FFCA21" w14:textId="77777777">
            <w:pPr>
              <w:spacing w:after="0"/>
              <w:rPr>
                <w:sz w:val="18"/>
                <w:szCs w:val="18"/>
              </w:rPr>
            </w:pPr>
            <w:r w:rsidRPr="00E919ED">
              <w:rPr>
                <w:rFonts w:ascii="Calibri" w:hAnsi="Calibri" w:eastAsia="Calibri" w:cs="Calibri"/>
                <w:color w:val="000000" w:themeColor="text1"/>
                <w:sz w:val="18"/>
                <w:szCs w:val="18"/>
              </w:rPr>
              <w:t>20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CFA1819"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17B5532"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3802F09" w14:textId="77777777">
            <w:pPr>
              <w:spacing w:after="0"/>
              <w:rPr>
                <w:sz w:val="18"/>
                <w:szCs w:val="18"/>
              </w:rPr>
            </w:pPr>
            <w:r w:rsidRPr="00E919ED">
              <w:rPr>
                <w:rFonts w:ascii="Calibri" w:hAnsi="Calibri" w:eastAsia="Calibri" w:cs="Calibri"/>
                <w:color w:val="000000" w:themeColor="text1"/>
                <w:sz w:val="18"/>
                <w:szCs w:val="18"/>
              </w:rPr>
              <w:t>1040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7995E3C" w14:textId="77777777">
            <w:pPr>
              <w:spacing w:after="0"/>
              <w:rPr>
                <w:sz w:val="18"/>
                <w:szCs w:val="18"/>
              </w:rPr>
            </w:pPr>
            <w:r w:rsidRPr="00E919ED">
              <w:rPr>
                <w:rFonts w:ascii="Calibri" w:hAnsi="Calibri" w:eastAsia="Calibri" w:cs="Calibri"/>
                <w:color w:val="000000" w:themeColor="text1"/>
                <w:sz w:val="18"/>
                <w:szCs w:val="18"/>
              </w:rPr>
              <w:t xml:space="preserve">4 bags every 2 weeks 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48E37B73"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56475A7" w14:textId="77777777">
            <w:pPr>
              <w:spacing w:after="0"/>
              <w:rPr>
                <w:sz w:val="18"/>
                <w:szCs w:val="18"/>
              </w:rPr>
            </w:pPr>
            <w:r w:rsidRPr="00E919ED">
              <w:rPr>
                <w:rFonts w:ascii="Calibri" w:hAnsi="Calibri" w:eastAsia="Calibri" w:cs="Calibri"/>
                <w:color w:val="000000" w:themeColor="text1"/>
                <w:sz w:val="18"/>
                <w:szCs w:val="18"/>
              </w:rPr>
              <w:t>Total</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A025B70"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77AB461"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6694CE"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F6752B7"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9DD12F0" w14:textId="77777777">
            <w:pPr>
              <w:spacing w:after="0"/>
              <w:rPr>
                <w:sz w:val="18"/>
                <w:szCs w:val="18"/>
              </w:rPr>
            </w:pPr>
            <w:r w:rsidRPr="00E919ED">
              <w:rPr>
                <w:rFonts w:ascii="Calibri" w:hAnsi="Calibri" w:eastAsia="Calibri" w:cs="Calibri"/>
                <w:color w:val="000000" w:themeColor="text1"/>
                <w:sz w:val="18"/>
                <w:szCs w:val="18"/>
              </w:rPr>
              <w:t>7176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12C86F0" w14:textId="77777777">
            <w:pPr>
              <w:spacing w:after="0"/>
              <w:rPr>
                <w:sz w:val="18"/>
                <w:szCs w:val="18"/>
              </w:rPr>
            </w:pPr>
            <w:r w:rsidRPr="00E919ED">
              <w:rPr>
                <w:rFonts w:ascii="Calibri" w:hAnsi="Calibri" w:eastAsia="Calibri" w:cs="Calibri"/>
                <w:color w:val="000000" w:themeColor="text1"/>
                <w:sz w:val="18"/>
                <w:szCs w:val="18"/>
              </w:rPr>
              <w:t>24614.2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4416182" w14:textId="77777777">
            <w:pPr>
              <w:spacing w:after="0"/>
              <w:rPr>
                <w:sz w:val="18"/>
                <w:szCs w:val="18"/>
              </w:rPr>
            </w:pPr>
            <w:r w:rsidRPr="00E919ED">
              <w:rPr>
                <w:rFonts w:ascii="Calibri" w:hAnsi="Calibri" w:eastAsia="Calibri" w:cs="Calibri"/>
                <w:color w:val="000000" w:themeColor="text1"/>
                <w:sz w:val="18"/>
                <w:szCs w:val="18"/>
              </w:rPr>
              <w:t>1040</w:t>
            </w:r>
          </w:p>
        </w:tc>
        <w:tc>
          <w:tcPr>
            <w:tcW w:w="1843" w:type="dxa"/>
            <w:tcBorders>
              <w:top w:val="single" w:color="000000" w:themeColor="text1" w:sz="4" w:space="0"/>
              <w:left w:val="single" w:color="000000" w:themeColor="text1" w:sz="4" w:space="0"/>
              <w:bottom w:val="nil"/>
              <w:right w:val="nil"/>
            </w:tcBorders>
            <w:tcMar>
              <w:top w:w="15" w:type="dxa"/>
              <w:left w:w="15" w:type="dxa"/>
              <w:right w:w="15" w:type="dxa"/>
            </w:tcMar>
            <w:vAlign w:val="bottom"/>
          </w:tcPr>
          <w:p w:rsidRPr="00E919ED" w:rsidR="00B96C60" w:rsidP="009D1A27" w:rsidRDefault="00B96C60" w14:paraId="2B46742C" w14:textId="77777777">
            <w:pPr>
              <w:rPr>
                <w:sz w:val="18"/>
                <w:szCs w:val="18"/>
              </w:rPr>
            </w:pPr>
          </w:p>
        </w:tc>
      </w:tr>
      <w:tr w:rsidRPr="00E919ED" w:rsidR="007E2C64" w:rsidTr="00113FE4" w14:paraId="0FAB3D83"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5A03BED8" w14:textId="41A32A44">
            <w:pPr>
              <w:spacing w:after="0"/>
              <w:rPr>
                <w:sz w:val="18"/>
                <w:szCs w:val="18"/>
              </w:rPr>
            </w:pPr>
            <w:r w:rsidRPr="00E919ED">
              <w:rPr>
                <w:rFonts w:ascii="Calibri" w:hAnsi="Calibri" w:eastAsia="Calibri" w:cs="Calibri"/>
                <w:color w:val="FFFFFF" w:themeColor="background1"/>
                <w:sz w:val="18"/>
                <w:szCs w:val="18"/>
              </w:rPr>
              <w:t>Peter Moorhead Unit</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5CBD5D07" w14:textId="77777777">
            <w:pPr>
              <w:spacing w:after="0"/>
              <w:rPr>
                <w:sz w:val="18"/>
                <w:szCs w:val="18"/>
              </w:rPr>
            </w:pPr>
            <w:r w:rsidRPr="00E919ED">
              <w:rPr>
                <w:rFonts w:ascii="Calibri" w:hAnsi="Calibri" w:eastAsia="Calibri" w:cs="Calibri"/>
                <w:color w:val="FFFFFF" w:themeColor="background1"/>
                <w:sz w:val="18"/>
                <w:szCs w:val="18"/>
              </w:rPr>
              <w:t>Bags per day/ week</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67A6B958" w14:textId="77777777">
            <w:pPr>
              <w:spacing w:after="0"/>
              <w:rPr>
                <w:sz w:val="18"/>
                <w:szCs w:val="18"/>
              </w:rPr>
            </w:pPr>
            <w:r w:rsidRPr="00E919ED">
              <w:rPr>
                <w:rFonts w:ascii="Calibri" w:hAnsi="Calibri" w:eastAsia="Calibri" w:cs="Calibri"/>
                <w:color w:val="FFFFFF" w:themeColor="background1"/>
                <w:sz w:val="18"/>
                <w:szCs w:val="18"/>
              </w:rPr>
              <w:t>average weight kg</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2216314" w14:textId="7CE12AED">
            <w:pPr>
              <w:spacing w:after="0"/>
              <w:rPr>
                <w:sz w:val="18"/>
                <w:szCs w:val="18"/>
              </w:rPr>
            </w:pPr>
            <w:r w:rsidRPr="00E919ED">
              <w:rPr>
                <w:rFonts w:ascii="Calibri" w:hAnsi="Calibri" w:eastAsia="Calibri" w:cs="Calibri"/>
                <w:color w:val="FFFFFF" w:themeColor="background1"/>
                <w:sz w:val="18"/>
                <w:szCs w:val="18"/>
              </w:rPr>
              <w:t xml:space="preserve">Total weight Kg </w:t>
            </w:r>
            <w:r w:rsidRPr="00E919ED" w:rsidR="008D3F67">
              <w:rPr>
                <w:rFonts w:ascii="Calibri" w:hAnsi="Calibri" w:eastAsia="Calibri" w:cs="Calibri"/>
                <w:color w:val="FFFFFF" w:themeColor="background1"/>
                <w:sz w:val="18"/>
                <w:szCs w:val="18"/>
              </w:rPr>
              <w:t>(daily</w:t>
            </w:r>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55E29E47" w14:textId="77777777">
            <w:pPr>
              <w:spacing w:after="0"/>
              <w:rPr>
                <w:sz w:val="18"/>
                <w:szCs w:val="18"/>
              </w:rPr>
            </w:pPr>
            <w:r w:rsidRPr="00E919ED">
              <w:rPr>
                <w:rFonts w:ascii="Calibri" w:hAnsi="Calibri" w:eastAsia="Calibri" w:cs="Calibri"/>
                <w:color w:val="FFFFFF" w:themeColor="background1"/>
                <w:sz w:val="18"/>
                <w:szCs w:val="18"/>
              </w:rPr>
              <w:t xml:space="preserve">Total weight kg </w:t>
            </w:r>
            <w:proofErr w:type="gramStart"/>
            <w:r w:rsidRPr="00E919ED">
              <w:rPr>
                <w:rFonts w:ascii="Calibri" w:hAnsi="Calibri" w:eastAsia="Calibri" w:cs="Calibri"/>
                <w:color w:val="FFFFFF" w:themeColor="background1"/>
                <w:sz w:val="18"/>
                <w:szCs w:val="18"/>
              </w:rPr>
              <w:t>( weekly</w:t>
            </w:r>
            <w:proofErr w:type="gramEnd"/>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71DEE37B" w14:textId="77777777">
            <w:pPr>
              <w:spacing w:after="0"/>
              <w:rPr>
                <w:sz w:val="18"/>
                <w:szCs w:val="18"/>
              </w:rPr>
            </w:pPr>
            <w:r w:rsidRPr="00E919ED">
              <w:rPr>
                <w:rFonts w:ascii="Calibri" w:hAnsi="Calibri" w:eastAsia="Calibri" w:cs="Calibri"/>
                <w:color w:val="FFFFFF" w:themeColor="background1"/>
                <w:sz w:val="18"/>
                <w:szCs w:val="18"/>
              </w:rPr>
              <w:t>Mixed waste recovery kg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EC9E6CA" w14:textId="77777777">
            <w:pPr>
              <w:spacing w:after="0"/>
              <w:rPr>
                <w:sz w:val="18"/>
                <w:szCs w:val="18"/>
              </w:rPr>
            </w:pPr>
            <w:r w:rsidRPr="00E919ED">
              <w:rPr>
                <w:rFonts w:ascii="Calibri" w:hAnsi="Calibri" w:eastAsia="Calibri" w:cs="Calibri"/>
                <w:color w:val="FFFFFF" w:themeColor="background1"/>
                <w:sz w:val="18"/>
                <w:szCs w:val="18"/>
              </w:rPr>
              <w:t>clinical waste kg</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72A785A8" w14:textId="77777777">
            <w:pPr>
              <w:spacing w:after="0"/>
              <w:rPr>
                <w:sz w:val="18"/>
                <w:szCs w:val="18"/>
              </w:rPr>
            </w:pPr>
            <w:r w:rsidRPr="00E919ED">
              <w:rPr>
                <w:rFonts w:ascii="Calibri" w:hAnsi="Calibri" w:eastAsia="Calibri" w:cs="Calibri"/>
                <w:color w:val="FFFFFF" w:themeColor="background1"/>
                <w:sz w:val="18"/>
                <w:szCs w:val="18"/>
              </w:rPr>
              <w:t>paper to incineration kg</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1FBF79AA" w14:textId="77777777">
            <w:pPr>
              <w:spacing w:after="0"/>
              <w:rPr>
                <w:sz w:val="18"/>
                <w:szCs w:val="18"/>
              </w:rPr>
            </w:pPr>
            <w:r w:rsidRPr="00E919ED">
              <w:rPr>
                <w:rFonts w:ascii="Calibri" w:hAnsi="Calibri" w:eastAsia="Calibri" w:cs="Calibri"/>
                <w:color w:val="FFFFFF" w:themeColor="background1"/>
                <w:sz w:val="18"/>
                <w:szCs w:val="18"/>
              </w:rPr>
              <w:t>Notes</w:t>
            </w:r>
          </w:p>
        </w:tc>
      </w:tr>
      <w:tr w:rsidRPr="00E919ED" w:rsidR="00B96C60" w:rsidTr="00113FE4" w14:paraId="334227F6"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7637A65" w14:textId="77777777">
            <w:pPr>
              <w:spacing w:after="0"/>
              <w:rPr>
                <w:sz w:val="18"/>
                <w:szCs w:val="18"/>
              </w:rPr>
            </w:pPr>
            <w:r w:rsidRPr="00E919ED">
              <w:rPr>
                <w:rFonts w:ascii="Calibri" w:hAnsi="Calibri" w:eastAsia="Calibri" w:cs="Calibri"/>
                <w:color w:val="000000" w:themeColor="text1"/>
                <w:sz w:val="18"/>
                <w:szCs w:val="18"/>
              </w:rPr>
              <w:t>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5B4A2E" w14:textId="77777777">
            <w:pPr>
              <w:spacing w:after="0"/>
              <w:rPr>
                <w:sz w:val="18"/>
                <w:szCs w:val="18"/>
              </w:rPr>
            </w:pPr>
            <w:r w:rsidRPr="00E919ED">
              <w:rPr>
                <w:rFonts w:ascii="Calibri" w:hAnsi="Calibri" w:eastAsia="Calibri" w:cs="Calibri"/>
                <w:color w:val="000000" w:themeColor="text1"/>
                <w:sz w:val="18"/>
                <w:szCs w:val="18"/>
              </w:rPr>
              <w:t>10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F39D095" w14:textId="77777777">
            <w:pPr>
              <w:spacing w:after="0"/>
              <w:rPr>
                <w:sz w:val="18"/>
                <w:szCs w:val="18"/>
              </w:rPr>
            </w:pPr>
            <w:r w:rsidRPr="00E919ED">
              <w:rPr>
                <w:rFonts w:ascii="Calibri" w:hAnsi="Calibri" w:eastAsia="Calibri" w:cs="Calibri"/>
                <w:color w:val="000000" w:themeColor="text1"/>
                <w:sz w:val="18"/>
                <w:szCs w:val="18"/>
              </w:rPr>
              <w:t>2</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8039FFF" w14:textId="77777777">
            <w:pPr>
              <w:spacing w:after="0"/>
              <w:rPr>
                <w:sz w:val="18"/>
                <w:szCs w:val="18"/>
              </w:rPr>
            </w:pPr>
            <w:r w:rsidRPr="00E919ED">
              <w:rPr>
                <w:rFonts w:ascii="Calibri" w:hAnsi="Calibri" w:eastAsia="Calibri" w:cs="Calibri"/>
                <w:color w:val="000000" w:themeColor="text1"/>
                <w:sz w:val="18"/>
                <w:szCs w:val="18"/>
              </w:rPr>
              <w:t>20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1DD87E"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A075853" w14:textId="77777777">
            <w:pPr>
              <w:spacing w:after="0"/>
              <w:rPr>
                <w:sz w:val="18"/>
                <w:szCs w:val="18"/>
              </w:rPr>
            </w:pPr>
            <w:r w:rsidRPr="00E919ED">
              <w:rPr>
                <w:rFonts w:ascii="Calibri" w:hAnsi="Calibri" w:eastAsia="Calibri" w:cs="Calibri"/>
                <w:color w:val="000000" w:themeColor="text1"/>
                <w:sz w:val="18"/>
                <w:szCs w:val="18"/>
              </w:rPr>
              <w:t>6240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6D46069"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C838A70"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D62D2E9"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644D25C8"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C03D0C0" w14:textId="77777777">
            <w:pPr>
              <w:spacing w:after="0"/>
              <w:rPr>
                <w:sz w:val="18"/>
                <w:szCs w:val="18"/>
              </w:rPr>
            </w:pPr>
            <w:r w:rsidRPr="00E919ED">
              <w:rPr>
                <w:rFonts w:ascii="Calibri" w:hAnsi="Calibri" w:eastAsia="Calibri" w:cs="Calibri"/>
                <w:color w:val="000000" w:themeColor="text1"/>
                <w:sz w:val="18"/>
                <w:szCs w:val="18"/>
              </w:rPr>
              <w:t>Tiger stripe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96C1B10" w14:textId="77777777">
            <w:pPr>
              <w:spacing w:after="0"/>
              <w:rPr>
                <w:sz w:val="18"/>
                <w:szCs w:val="18"/>
              </w:rPr>
            </w:pPr>
            <w:r w:rsidRPr="00E919ED">
              <w:rPr>
                <w:rFonts w:ascii="Calibri" w:hAnsi="Calibri" w:eastAsia="Calibri" w:cs="Calibri"/>
                <w:color w:val="000000" w:themeColor="text1"/>
                <w:sz w:val="18"/>
                <w:szCs w:val="18"/>
              </w:rPr>
              <w:t>25</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56E8F7" w14:textId="77777777">
            <w:pPr>
              <w:spacing w:after="0"/>
              <w:rPr>
                <w:sz w:val="18"/>
                <w:szCs w:val="18"/>
              </w:rPr>
            </w:pPr>
            <w:r w:rsidRPr="00E919ED">
              <w:rPr>
                <w:rFonts w:ascii="Calibri" w:hAnsi="Calibri" w:eastAsia="Calibri" w:cs="Calibri"/>
                <w:color w:val="000000" w:themeColor="text1"/>
                <w:sz w:val="18"/>
                <w:szCs w:val="18"/>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8340F65" w14:textId="77777777">
            <w:pPr>
              <w:spacing w:after="0"/>
              <w:rPr>
                <w:sz w:val="18"/>
                <w:szCs w:val="18"/>
              </w:rPr>
            </w:pPr>
            <w:r w:rsidRPr="00E919ED">
              <w:rPr>
                <w:rFonts w:ascii="Calibri" w:hAnsi="Calibri" w:eastAsia="Calibri" w:cs="Calibri"/>
                <w:color w:val="000000" w:themeColor="text1"/>
                <w:sz w:val="18"/>
                <w:szCs w:val="18"/>
              </w:rPr>
              <w:t>75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03F49FE"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70666DF"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BA54B6F" w14:textId="77777777">
            <w:pPr>
              <w:spacing w:after="0"/>
              <w:rPr>
                <w:sz w:val="18"/>
                <w:szCs w:val="18"/>
              </w:rPr>
            </w:pPr>
            <w:r w:rsidRPr="00E919ED">
              <w:rPr>
                <w:rFonts w:ascii="Calibri" w:hAnsi="Calibri" w:eastAsia="Calibri" w:cs="Calibri"/>
                <w:color w:val="000000" w:themeColor="text1"/>
                <w:sz w:val="18"/>
                <w:szCs w:val="18"/>
              </w:rPr>
              <w:t>23400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F4BB3AB"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63898DD"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7228B6DA"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AF5F24" w14:textId="77777777">
            <w:pPr>
              <w:spacing w:after="0"/>
              <w:rPr>
                <w:sz w:val="18"/>
                <w:szCs w:val="18"/>
              </w:rPr>
            </w:pPr>
            <w:r w:rsidRPr="00E919ED">
              <w:rPr>
                <w:rFonts w:ascii="Calibri" w:hAnsi="Calibri" w:eastAsia="Calibri" w:cs="Calibri"/>
                <w:color w:val="000000" w:themeColor="text1"/>
                <w:sz w:val="18"/>
                <w:szCs w:val="18"/>
              </w:rPr>
              <w:t>small 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8E1E117" w14:textId="77777777">
            <w:pPr>
              <w:spacing w:after="0"/>
              <w:rPr>
                <w:sz w:val="18"/>
                <w:szCs w:val="18"/>
              </w:rPr>
            </w:pPr>
            <w:r w:rsidRPr="00E919ED">
              <w:rPr>
                <w:rFonts w:ascii="Calibri" w:hAnsi="Calibri" w:eastAsia="Calibri" w:cs="Calibri"/>
                <w:color w:val="000000" w:themeColor="text1"/>
                <w:sz w:val="18"/>
                <w:szCs w:val="18"/>
              </w:rPr>
              <w:t>3</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C84F051" w14:textId="77777777">
            <w:pPr>
              <w:spacing w:after="0"/>
              <w:rPr>
                <w:sz w:val="18"/>
                <w:szCs w:val="18"/>
              </w:rPr>
            </w:pPr>
            <w:r w:rsidRPr="00E919ED">
              <w:rPr>
                <w:rFonts w:ascii="Calibri" w:hAnsi="Calibri" w:eastAsia="Calibri" w:cs="Calibri"/>
                <w:color w:val="000000" w:themeColor="text1"/>
                <w:sz w:val="18"/>
                <w:szCs w:val="18"/>
              </w:rPr>
              <w:t>1</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043FC6" w14:textId="77777777">
            <w:pPr>
              <w:spacing w:after="0"/>
              <w:rPr>
                <w:sz w:val="18"/>
                <w:szCs w:val="18"/>
              </w:rPr>
            </w:pPr>
            <w:r w:rsidRPr="00E919ED">
              <w:rPr>
                <w:rFonts w:ascii="Calibri" w:hAnsi="Calibri" w:eastAsia="Calibri" w:cs="Calibri"/>
                <w:color w:val="000000" w:themeColor="text1"/>
                <w:sz w:val="18"/>
                <w:szCs w:val="18"/>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50F5B95"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9393600" w14:textId="77777777">
            <w:pPr>
              <w:spacing w:after="0"/>
              <w:rPr>
                <w:sz w:val="18"/>
                <w:szCs w:val="18"/>
              </w:rPr>
            </w:pPr>
            <w:r w:rsidRPr="00E919ED">
              <w:rPr>
                <w:rFonts w:ascii="Calibri" w:hAnsi="Calibri" w:eastAsia="Calibri" w:cs="Calibri"/>
                <w:color w:val="000000" w:themeColor="text1"/>
                <w:sz w:val="18"/>
                <w:szCs w:val="18"/>
              </w:rPr>
              <w:t>936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2D973CC"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B3C0BC2"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99C0996" w14:textId="77777777">
            <w:pPr>
              <w:spacing w:after="0"/>
              <w:rPr>
                <w:sz w:val="18"/>
                <w:szCs w:val="18"/>
              </w:rPr>
            </w:pPr>
            <w:r w:rsidRPr="00E919ED">
              <w:rPr>
                <w:rFonts w:ascii="Calibri" w:hAnsi="Calibri" w:eastAsia="Calibri" w:cs="Calibri"/>
                <w:color w:val="000000" w:themeColor="text1"/>
                <w:sz w:val="18"/>
                <w:szCs w:val="18"/>
              </w:rPr>
              <w:t>312 per annum</w:t>
            </w:r>
          </w:p>
        </w:tc>
      </w:tr>
      <w:tr w:rsidRPr="00E919ED" w:rsidR="00B96C60" w:rsidTr="00113FE4" w14:paraId="178D8C65"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EFBB0AC" w14:textId="77777777">
            <w:pPr>
              <w:spacing w:after="0"/>
              <w:rPr>
                <w:sz w:val="18"/>
                <w:szCs w:val="18"/>
              </w:rPr>
            </w:pPr>
            <w:r w:rsidRPr="00E919ED">
              <w:rPr>
                <w:rFonts w:ascii="Calibri" w:hAnsi="Calibri" w:eastAsia="Calibri" w:cs="Calibri"/>
                <w:color w:val="000000" w:themeColor="text1"/>
                <w:sz w:val="18"/>
                <w:szCs w:val="18"/>
              </w:rPr>
              <w:t>Sharps- S14</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8B58A7B" w14:textId="77777777">
            <w:pPr>
              <w:spacing w:after="0"/>
              <w:rPr>
                <w:sz w:val="18"/>
                <w:szCs w:val="18"/>
              </w:rPr>
            </w:pPr>
            <w:r w:rsidRPr="00E919ED">
              <w:rPr>
                <w:rFonts w:ascii="Calibri" w:hAnsi="Calibri" w:eastAsia="Calibri" w:cs="Calibri"/>
                <w:color w:val="000000" w:themeColor="text1"/>
                <w:sz w:val="18"/>
                <w:szCs w:val="18"/>
              </w:rPr>
              <w:t>1.5</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78E5BEA" w14:textId="77777777">
            <w:pPr>
              <w:spacing w:after="0"/>
              <w:rPr>
                <w:sz w:val="18"/>
                <w:szCs w:val="18"/>
              </w:rPr>
            </w:pPr>
            <w:r w:rsidRPr="00E919ED">
              <w:rPr>
                <w:rFonts w:ascii="Calibri" w:hAnsi="Calibri" w:eastAsia="Calibri" w:cs="Calibri"/>
                <w:color w:val="000000" w:themeColor="text1"/>
                <w:sz w:val="18"/>
                <w:szCs w:val="18"/>
              </w:rPr>
              <w:t>1.3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B68E193"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1A27568" w14:textId="77777777">
            <w:pPr>
              <w:spacing w:after="0"/>
              <w:rPr>
                <w:sz w:val="18"/>
                <w:szCs w:val="18"/>
              </w:rPr>
            </w:pPr>
            <w:r w:rsidRPr="00E919ED">
              <w:rPr>
                <w:rFonts w:ascii="Calibri" w:hAnsi="Calibri" w:eastAsia="Calibri" w:cs="Calibri"/>
                <w:color w:val="000000" w:themeColor="text1"/>
                <w:sz w:val="18"/>
                <w:szCs w:val="18"/>
              </w:rPr>
              <w:t>1.95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07EE8AD"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FB12324" w14:textId="77777777">
            <w:pPr>
              <w:spacing w:after="0"/>
              <w:rPr>
                <w:sz w:val="18"/>
                <w:szCs w:val="18"/>
              </w:rPr>
            </w:pPr>
            <w:r w:rsidRPr="00E919ED">
              <w:rPr>
                <w:rFonts w:ascii="Calibri" w:hAnsi="Calibri" w:eastAsia="Calibri" w:cs="Calibri"/>
                <w:color w:val="000000" w:themeColor="text1"/>
                <w:sz w:val="18"/>
                <w:szCs w:val="18"/>
              </w:rPr>
              <w:t>101.4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99E044D"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E17F137"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50E225F3"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C4FC81F" w14:textId="77777777">
            <w:pPr>
              <w:spacing w:after="0"/>
              <w:rPr>
                <w:sz w:val="18"/>
                <w:szCs w:val="18"/>
              </w:rPr>
            </w:pPr>
            <w:r w:rsidRPr="00E919ED">
              <w:rPr>
                <w:rFonts w:ascii="Calibri" w:hAnsi="Calibri" w:eastAsia="Calibri" w:cs="Calibri"/>
                <w:color w:val="000000" w:themeColor="text1"/>
                <w:sz w:val="18"/>
                <w:szCs w:val="18"/>
              </w:rPr>
              <w:t>Sharps-s 22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BBD2767" w14:textId="77777777">
            <w:pPr>
              <w:spacing w:after="0"/>
              <w:rPr>
                <w:sz w:val="18"/>
                <w:szCs w:val="18"/>
              </w:rPr>
            </w:pPr>
            <w:r w:rsidRPr="00E919ED">
              <w:rPr>
                <w:rFonts w:ascii="Calibri" w:hAnsi="Calibri" w:eastAsia="Calibri" w:cs="Calibri"/>
                <w:color w:val="000000" w:themeColor="text1"/>
                <w:sz w:val="18"/>
                <w:szCs w:val="18"/>
              </w:rPr>
              <w:t>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29D6199" w14:textId="77777777">
            <w:pPr>
              <w:spacing w:after="0"/>
              <w:rPr>
                <w:sz w:val="18"/>
                <w:szCs w:val="18"/>
              </w:rPr>
            </w:pPr>
            <w:r w:rsidRPr="00E919ED">
              <w:rPr>
                <w:rFonts w:ascii="Calibri" w:hAnsi="Calibri" w:eastAsia="Calibri" w:cs="Calibri"/>
                <w:color w:val="000000" w:themeColor="text1"/>
                <w:sz w:val="18"/>
                <w:szCs w:val="18"/>
              </w:rPr>
              <w:t>2.5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AB619DA"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70A8FFE" w14:textId="77777777">
            <w:pPr>
              <w:spacing w:after="0"/>
              <w:rPr>
                <w:sz w:val="18"/>
                <w:szCs w:val="18"/>
              </w:rPr>
            </w:pPr>
            <w:r w:rsidRPr="00E919ED">
              <w:rPr>
                <w:rFonts w:ascii="Calibri" w:hAnsi="Calibri" w:eastAsia="Calibri" w:cs="Calibri"/>
                <w:color w:val="000000" w:themeColor="text1"/>
                <w:sz w:val="18"/>
                <w:szCs w:val="18"/>
              </w:rPr>
              <w:t>15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B42EE45"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1BBB597" w14:textId="77777777">
            <w:pPr>
              <w:spacing w:after="0"/>
              <w:rPr>
                <w:sz w:val="18"/>
                <w:szCs w:val="18"/>
              </w:rPr>
            </w:pPr>
            <w:r w:rsidRPr="00E919ED">
              <w:rPr>
                <w:rFonts w:ascii="Calibri" w:hAnsi="Calibri" w:eastAsia="Calibri" w:cs="Calibri"/>
                <w:color w:val="000000" w:themeColor="text1"/>
                <w:sz w:val="18"/>
                <w:szCs w:val="18"/>
              </w:rPr>
              <w:t>780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9324A9A"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964F39A"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7626E510"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ED6AE4D" w14:textId="77777777">
            <w:pPr>
              <w:spacing w:after="0"/>
              <w:rPr>
                <w:sz w:val="18"/>
                <w:szCs w:val="18"/>
              </w:rPr>
            </w:pPr>
            <w:r w:rsidRPr="00E919ED">
              <w:rPr>
                <w:rFonts w:ascii="Calibri" w:hAnsi="Calibri" w:eastAsia="Calibri" w:cs="Calibri"/>
                <w:color w:val="000000" w:themeColor="text1"/>
                <w:sz w:val="18"/>
                <w:szCs w:val="18"/>
              </w:rPr>
              <w:t>Sharps s-32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CE97D56" w14:textId="77777777">
            <w:pPr>
              <w:spacing w:after="0"/>
              <w:rPr>
                <w:sz w:val="18"/>
                <w:szCs w:val="18"/>
              </w:rPr>
            </w:pPr>
            <w:r w:rsidRPr="00E919ED">
              <w:rPr>
                <w:rFonts w:ascii="Calibri" w:hAnsi="Calibri" w:eastAsia="Calibri" w:cs="Calibri"/>
                <w:color w:val="000000" w:themeColor="text1"/>
                <w:sz w:val="18"/>
                <w:szCs w:val="18"/>
              </w:rPr>
              <w:t>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47A4362" w14:textId="77777777">
            <w:pPr>
              <w:spacing w:after="0"/>
              <w:rPr>
                <w:sz w:val="18"/>
                <w:szCs w:val="18"/>
              </w:rPr>
            </w:pPr>
            <w:r w:rsidRPr="00E919ED">
              <w:rPr>
                <w:rFonts w:ascii="Calibri" w:hAnsi="Calibri" w:eastAsia="Calibri" w:cs="Calibri"/>
                <w:color w:val="000000" w:themeColor="text1"/>
                <w:sz w:val="18"/>
                <w:szCs w:val="18"/>
              </w:rPr>
              <w:t>6.4</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177B2BC"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810AF9C" w14:textId="77777777">
            <w:pPr>
              <w:spacing w:after="0"/>
              <w:rPr>
                <w:sz w:val="18"/>
                <w:szCs w:val="18"/>
              </w:rPr>
            </w:pPr>
            <w:r w:rsidRPr="00E919ED">
              <w:rPr>
                <w:rFonts w:ascii="Calibri" w:hAnsi="Calibri" w:eastAsia="Calibri" w:cs="Calibri"/>
                <w:color w:val="000000" w:themeColor="text1"/>
                <w:sz w:val="18"/>
                <w:szCs w:val="18"/>
              </w:rPr>
              <w:t>6.4</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32DE14B"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228CA1E" w14:textId="77777777">
            <w:pPr>
              <w:spacing w:after="0"/>
              <w:rPr>
                <w:sz w:val="18"/>
                <w:szCs w:val="18"/>
              </w:rPr>
            </w:pPr>
            <w:r w:rsidRPr="00E919ED">
              <w:rPr>
                <w:rFonts w:ascii="Calibri" w:hAnsi="Calibri" w:eastAsia="Calibri" w:cs="Calibri"/>
                <w:color w:val="000000" w:themeColor="text1"/>
                <w:sz w:val="18"/>
                <w:szCs w:val="18"/>
              </w:rPr>
              <w:t>332.8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1DED2DE"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C4C4CB0"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3485C755"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D2E8196" w14:textId="77777777">
            <w:pPr>
              <w:spacing w:after="0"/>
              <w:rPr>
                <w:sz w:val="18"/>
                <w:szCs w:val="18"/>
              </w:rPr>
            </w:pPr>
            <w:r w:rsidRPr="00E919ED">
              <w:rPr>
                <w:rFonts w:ascii="Calibri" w:hAnsi="Calibri" w:eastAsia="Calibri" w:cs="Calibri"/>
                <w:color w:val="000000" w:themeColor="text1"/>
                <w:sz w:val="18"/>
                <w:szCs w:val="18"/>
              </w:rPr>
              <w:t>Confidential waste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C2E2B31" w14:textId="77777777">
            <w:pPr>
              <w:spacing w:after="0"/>
              <w:rPr>
                <w:sz w:val="18"/>
                <w:szCs w:val="18"/>
              </w:rPr>
            </w:pPr>
            <w:r w:rsidRPr="00E919ED">
              <w:rPr>
                <w:rFonts w:ascii="Calibri" w:hAnsi="Calibri" w:eastAsia="Calibri" w:cs="Calibri"/>
                <w:color w:val="000000" w:themeColor="text1"/>
                <w:sz w:val="18"/>
                <w:szCs w:val="18"/>
              </w:rPr>
              <w:t>2</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23BA627" w14:textId="77777777">
            <w:pPr>
              <w:spacing w:after="0"/>
              <w:rPr>
                <w:sz w:val="18"/>
                <w:szCs w:val="18"/>
              </w:rPr>
            </w:pPr>
            <w:r w:rsidRPr="00E919ED">
              <w:rPr>
                <w:rFonts w:ascii="Calibri" w:hAnsi="Calibri" w:eastAsia="Calibri" w:cs="Calibri"/>
                <w:color w:val="000000" w:themeColor="text1"/>
                <w:sz w:val="18"/>
                <w:szCs w:val="18"/>
              </w:rPr>
              <w:t>10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5621E94"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03BE9A2" w14:textId="77777777">
            <w:pPr>
              <w:spacing w:after="0"/>
              <w:rPr>
                <w:sz w:val="18"/>
                <w:szCs w:val="18"/>
              </w:rPr>
            </w:pPr>
            <w:r w:rsidRPr="00E919ED">
              <w:rPr>
                <w:rFonts w:ascii="Calibri" w:hAnsi="Calibri" w:eastAsia="Calibri" w:cs="Calibri"/>
                <w:color w:val="000000" w:themeColor="text1"/>
                <w:sz w:val="18"/>
                <w:szCs w:val="18"/>
              </w:rPr>
              <w:t>20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57ECBD5"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C5E9E5D"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4EE5CE1" w14:textId="77777777">
            <w:pPr>
              <w:spacing w:after="0"/>
              <w:rPr>
                <w:sz w:val="18"/>
                <w:szCs w:val="18"/>
              </w:rPr>
            </w:pPr>
            <w:r w:rsidRPr="00E919ED">
              <w:rPr>
                <w:rFonts w:ascii="Calibri" w:hAnsi="Calibri" w:eastAsia="Calibri" w:cs="Calibri"/>
                <w:color w:val="000000" w:themeColor="text1"/>
                <w:sz w:val="18"/>
                <w:szCs w:val="18"/>
              </w:rPr>
              <w:t>1040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76E10C2" w14:textId="77777777">
            <w:pPr>
              <w:spacing w:after="0"/>
              <w:rPr>
                <w:sz w:val="18"/>
                <w:szCs w:val="18"/>
              </w:rPr>
            </w:pPr>
            <w:r w:rsidRPr="00E919ED">
              <w:rPr>
                <w:rFonts w:ascii="Calibri" w:hAnsi="Calibri" w:eastAsia="Calibri" w:cs="Calibri"/>
                <w:color w:val="000000" w:themeColor="text1"/>
                <w:sz w:val="18"/>
                <w:szCs w:val="18"/>
              </w:rPr>
              <w:t xml:space="preserve">4 bags every 2 weeks 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12D286F7"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B3CCE17" w14:textId="77777777">
            <w:pPr>
              <w:spacing w:after="0"/>
              <w:rPr>
                <w:sz w:val="18"/>
                <w:szCs w:val="18"/>
              </w:rPr>
            </w:pPr>
            <w:r w:rsidRPr="00E919ED">
              <w:rPr>
                <w:rFonts w:ascii="Calibri" w:hAnsi="Calibri" w:eastAsia="Calibri" w:cs="Calibri"/>
                <w:color w:val="000000" w:themeColor="text1"/>
                <w:sz w:val="18"/>
                <w:szCs w:val="18"/>
              </w:rPr>
              <w:t>Total</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6BB0366"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F7E3EFD"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9434F11"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63D333D"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4E392DD" w14:textId="77777777">
            <w:pPr>
              <w:spacing w:after="0"/>
              <w:rPr>
                <w:sz w:val="18"/>
                <w:szCs w:val="18"/>
              </w:rPr>
            </w:pPr>
            <w:r w:rsidRPr="00E919ED">
              <w:rPr>
                <w:rFonts w:ascii="Calibri" w:hAnsi="Calibri" w:eastAsia="Calibri" w:cs="Calibri"/>
                <w:color w:val="000000" w:themeColor="text1"/>
                <w:sz w:val="18"/>
                <w:szCs w:val="18"/>
              </w:rPr>
              <w:t>7176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985EAC0" w14:textId="77777777">
            <w:pPr>
              <w:spacing w:after="0"/>
              <w:rPr>
                <w:sz w:val="18"/>
                <w:szCs w:val="18"/>
              </w:rPr>
            </w:pPr>
            <w:r w:rsidRPr="00E919ED">
              <w:rPr>
                <w:rFonts w:ascii="Calibri" w:hAnsi="Calibri" w:eastAsia="Calibri" w:cs="Calibri"/>
                <w:color w:val="000000" w:themeColor="text1"/>
                <w:sz w:val="18"/>
                <w:szCs w:val="18"/>
              </w:rPr>
              <w:t>24614.2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18B7FA6" w14:textId="77777777">
            <w:pPr>
              <w:spacing w:after="0"/>
              <w:rPr>
                <w:sz w:val="18"/>
                <w:szCs w:val="18"/>
              </w:rPr>
            </w:pPr>
            <w:r w:rsidRPr="00E919ED">
              <w:rPr>
                <w:rFonts w:ascii="Calibri" w:hAnsi="Calibri" w:eastAsia="Calibri" w:cs="Calibri"/>
                <w:color w:val="000000" w:themeColor="text1"/>
                <w:sz w:val="18"/>
                <w:szCs w:val="18"/>
              </w:rPr>
              <w:t>1040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FACCA1D" w14:textId="77777777">
            <w:pPr>
              <w:rPr>
                <w:sz w:val="18"/>
                <w:szCs w:val="18"/>
              </w:rPr>
            </w:pPr>
          </w:p>
        </w:tc>
      </w:tr>
      <w:tr w:rsidRPr="00E919ED" w:rsidR="007E2C64" w:rsidTr="00113FE4" w14:paraId="47F20A1D"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31906FB3" w14:textId="450C224B">
            <w:pPr>
              <w:spacing w:after="0"/>
              <w:rPr>
                <w:sz w:val="18"/>
                <w:szCs w:val="18"/>
              </w:rPr>
            </w:pPr>
            <w:r w:rsidRPr="00E919ED">
              <w:rPr>
                <w:rFonts w:ascii="Calibri" w:hAnsi="Calibri" w:eastAsia="Calibri" w:cs="Calibri"/>
                <w:color w:val="FFFFFF" w:themeColor="background1"/>
                <w:sz w:val="18"/>
                <w:szCs w:val="18"/>
              </w:rPr>
              <w:t>V</w:t>
            </w:r>
            <w:r w:rsidRPr="00E919ED" w:rsidR="00C669E5">
              <w:rPr>
                <w:rFonts w:ascii="Calibri" w:hAnsi="Calibri" w:eastAsia="Calibri" w:cs="Calibri"/>
                <w:color w:val="FFFFFF" w:themeColor="background1"/>
                <w:sz w:val="18"/>
                <w:szCs w:val="18"/>
              </w:rPr>
              <w:t xml:space="preserve">ickers </w:t>
            </w:r>
            <w:r w:rsidRPr="00E919ED">
              <w:rPr>
                <w:rFonts w:ascii="Calibri" w:hAnsi="Calibri" w:eastAsia="Calibri" w:cs="Calibri"/>
                <w:color w:val="FFFFFF" w:themeColor="background1"/>
                <w:sz w:val="18"/>
                <w:szCs w:val="18"/>
              </w:rPr>
              <w:t>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D19E1D3" w14:textId="77777777">
            <w:pPr>
              <w:spacing w:after="0"/>
              <w:rPr>
                <w:sz w:val="18"/>
                <w:szCs w:val="18"/>
              </w:rPr>
            </w:pPr>
            <w:r w:rsidRPr="00E919ED">
              <w:rPr>
                <w:rFonts w:ascii="Calibri" w:hAnsi="Calibri" w:eastAsia="Calibri" w:cs="Calibri"/>
                <w:color w:val="FFFFFF" w:themeColor="background1"/>
                <w:sz w:val="18"/>
                <w:szCs w:val="18"/>
              </w:rPr>
              <w:t>Bags per day/ week</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34F90D2E" w14:textId="77777777">
            <w:pPr>
              <w:spacing w:after="0"/>
              <w:rPr>
                <w:sz w:val="18"/>
                <w:szCs w:val="18"/>
              </w:rPr>
            </w:pPr>
            <w:r w:rsidRPr="00E919ED">
              <w:rPr>
                <w:rFonts w:ascii="Calibri" w:hAnsi="Calibri" w:eastAsia="Calibri" w:cs="Calibri"/>
                <w:color w:val="FFFFFF" w:themeColor="background1"/>
                <w:sz w:val="18"/>
                <w:szCs w:val="18"/>
              </w:rPr>
              <w:t>average weight kg</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517B7A06" w14:textId="3D643BC9">
            <w:pPr>
              <w:spacing w:after="0"/>
              <w:rPr>
                <w:sz w:val="18"/>
                <w:szCs w:val="18"/>
              </w:rPr>
            </w:pPr>
            <w:r w:rsidRPr="00E919ED">
              <w:rPr>
                <w:rFonts w:ascii="Calibri" w:hAnsi="Calibri" w:eastAsia="Calibri" w:cs="Calibri"/>
                <w:color w:val="FFFFFF" w:themeColor="background1"/>
                <w:sz w:val="18"/>
                <w:szCs w:val="18"/>
              </w:rPr>
              <w:t xml:space="preserve">Total weight Kg </w:t>
            </w:r>
            <w:r w:rsidRPr="00E919ED" w:rsidR="008D3F67">
              <w:rPr>
                <w:rFonts w:ascii="Calibri" w:hAnsi="Calibri" w:eastAsia="Calibri" w:cs="Calibri"/>
                <w:color w:val="FFFFFF" w:themeColor="background1"/>
                <w:sz w:val="18"/>
                <w:szCs w:val="18"/>
              </w:rPr>
              <w:t>(daily</w:t>
            </w:r>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090509A1" w14:textId="4CD1B884">
            <w:pPr>
              <w:spacing w:after="0"/>
              <w:rPr>
                <w:sz w:val="18"/>
                <w:szCs w:val="18"/>
              </w:rPr>
            </w:pPr>
            <w:r w:rsidRPr="00E919ED">
              <w:rPr>
                <w:rFonts w:ascii="Calibri" w:hAnsi="Calibri" w:eastAsia="Calibri" w:cs="Calibri"/>
                <w:color w:val="FFFFFF" w:themeColor="background1"/>
                <w:sz w:val="18"/>
                <w:szCs w:val="18"/>
              </w:rPr>
              <w:t xml:space="preserve">Total weight kg </w:t>
            </w:r>
            <w:r w:rsidRPr="00E919ED" w:rsidR="008D3F67">
              <w:rPr>
                <w:rFonts w:ascii="Calibri" w:hAnsi="Calibri" w:eastAsia="Calibri" w:cs="Calibri"/>
                <w:color w:val="FFFFFF" w:themeColor="background1"/>
                <w:sz w:val="18"/>
                <w:szCs w:val="18"/>
              </w:rPr>
              <w:t>(weekly</w:t>
            </w:r>
            <w:r w:rsidRPr="00E919ED">
              <w:rPr>
                <w:rFonts w:ascii="Calibri" w:hAnsi="Calibri" w:eastAsia="Calibri" w:cs="Calibri"/>
                <w:color w:val="FFFFFF" w:themeColor="background1"/>
                <w:sz w:val="18"/>
                <w:szCs w:val="18"/>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214F29FA" w14:textId="77777777">
            <w:pPr>
              <w:spacing w:after="0"/>
              <w:rPr>
                <w:sz w:val="18"/>
                <w:szCs w:val="18"/>
              </w:rPr>
            </w:pPr>
            <w:r w:rsidRPr="00E919ED">
              <w:rPr>
                <w:rFonts w:ascii="Calibri" w:hAnsi="Calibri" w:eastAsia="Calibri" w:cs="Calibri"/>
                <w:color w:val="FFFFFF" w:themeColor="background1"/>
                <w:sz w:val="18"/>
                <w:szCs w:val="18"/>
              </w:rPr>
              <w:t>Mixed waste recovery kg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750A100B" w14:textId="77777777">
            <w:pPr>
              <w:spacing w:after="0"/>
              <w:rPr>
                <w:sz w:val="18"/>
                <w:szCs w:val="18"/>
              </w:rPr>
            </w:pPr>
            <w:r w:rsidRPr="00E919ED">
              <w:rPr>
                <w:rFonts w:ascii="Calibri" w:hAnsi="Calibri" w:eastAsia="Calibri" w:cs="Calibri"/>
                <w:color w:val="FFFFFF" w:themeColor="background1"/>
                <w:sz w:val="18"/>
                <w:szCs w:val="18"/>
              </w:rPr>
              <w:t>clinical waste kg</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1E1666FE" w14:textId="77777777">
            <w:pPr>
              <w:spacing w:after="0"/>
              <w:rPr>
                <w:sz w:val="18"/>
                <w:szCs w:val="18"/>
              </w:rPr>
            </w:pPr>
            <w:r w:rsidRPr="00E919ED">
              <w:rPr>
                <w:rFonts w:ascii="Calibri" w:hAnsi="Calibri" w:eastAsia="Calibri" w:cs="Calibri"/>
                <w:color w:val="FFFFFF" w:themeColor="background1"/>
                <w:sz w:val="18"/>
                <w:szCs w:val="18"/>
              </w:rPr>
              <w:t>paper to incineration kg</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op w:w="15" w:type="dxa"/>
              <w:left w:w="15" w:type="dxa"/>
              <w:right w:w="15" w:type="dxa"/>
            </w:tcMar>
            <w:vAlign w:val="bottom"/>
          </w:tcPr>
          <w:p w:rsidRPr="00E919ED" w:rsidR="00B96C60" w:rsidP="009D1A27" w:rsidRDefault="00B96C60" w14:paraId="5C79CE73" w14:textId="77777777">
            <w:pPr>
              <w:spacing w:after="0"/>
              <w:rPr>
                <w:sz w:val="18"/>
                <w:szCs w:val="18"/>
              </w:rPr>
            </w:pPr>
            <w:r w:rsidRPr="00E919ED">
              <w:rPr>
                <w:rFonts w:ascii="Calibri" w:hAnsi="Calibri" w:eastAsia="Calibri" w:cs="Calibri"/>
                <w:color w:val="FFFFFF" w:themeColor="background1"/>
                <w:sz w:val="18"/>
                <w:szCs w:val="18"/>
              </w:rPr>
              <w:t>Notes</w:t>
            </w:r>
          </w:p>
        </w:tc>
      </w:tr>
      <w:tr w:rsidRPr="00E919ED" w:rsidR="00B96C60" w:rsidTr="00113FE4" w14:paraId="2BF66A24"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B7AC970" w14:textId="77777777">
            <w:pPr>
              <w:spacing w:after="0"/>
              <w:rPr>
                <w:sz w:val="18"/>
                <w:szCs w:val="18"/>
              </w:rPr>
            </w:pPr>
            <w:r w:rsidRPr="00E919ED">
              <w:rPr>
                <w:rFonts w:ascii="Calibri" w:hAnsi="Calibri" w:eastAsia="Calibri" w:cs="Calibri"/>
                <w:color w:val="000000" w:themeColor="text1"/>
                <w:sz w:val="18"/>
                <w:szCs w:val="18"/>
              </w:rPr>
              <w:t>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08E8B6E" w14:textId="77777777">
            <w:pPr>
              <w:spacing w:after="0"/>
              <w:rPr>
                <w:sz w:val="18"/>
                <w:szCs w:val="18"/>
              </w:rPr>
            </w:pPr>
            <w:r w:rsidRPr="00E919ED">
              <w:rPr>
                <w:rFonts w:ascii="Calibri" w:hAnsi="Calibri" w:eastAsia="Calibri" w:cs="Calibri"/>
                <w:color w:val="000000" w:themeColor="text1"/>
                <w:sz w:val="18"/>
                <w:szCs w:val="18"/>
              </w:rPr>
              <w:t>4</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787C837" w14:textId="77777777">
            <w:pPr>
              <w:spacing w:after="0"/>
              <w:rPr>
                <w:sz w:val="18"/>
                <w:szCs w:val="18"/>
              </w:rPr>
            </w:pPr>
            <w:r w:rsidRPr="00E919ED">
              <w:rPr>
                <w:rFonts w:ascii="Calibri" w:hAnsi="Calibri" w:eastAsia="Calibri" w:cs="Calibri"/>
                <w:color w:val="000000" w:themeColor="text1"/>
                <w:sz w:val="18"/>
                <w:szCs w:val="18"/>
              </w:rPr>
              <w:t>2</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F18A3DF" w14:textId="77777777">
            <w:pPr>
              <w:spacing w:after="0"/>
              <w:rPr>
                <w:sz w:val="18"/>
                <w:szCs w:val="18"/>
              </w:rPr>
            </w:pPr>
            <w:r w:rsidRPr="00E919ED">
              <w:rPr>
                <w:rFonts w:ascii="Calibri" w:hAnsi="Calibri" w:eastAsia="Calibri" w:cs="Calibri"/>
                <w:color w:val="000000" w:themeColor="text1"/>
                <w:sz w:val="18"/>
                <w:szCs w:val="18"/>
              </w:rPr>
              <w:t>8</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F537D32"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0F6E98A" w14:textId="77777777">
            <w:pPr>
              <w:spacing w:after="0"/>
              <w:rPr>
                <w:sz w:val="18"/>
                <w:szCs w:val="18"/>
              </w:rPr>
            </w:pPr>
            <w:r w:rsidRPr="00E919ED">
              <w:rPr>
                <w:rFonts w:ascii="Calibri" w:hAnsi="Calibri" w:eastAsia="Calibri" w:cs="Calibri"/>
                <w:color w:val="000000" w:themeColor="text1"/>
                <w:sz w:val="18"/>
                <w:szCs w:val="18"/>
              </w:rPr>
              <w:t>1248</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B6A2F12"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9C9A83"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9E04650" w14:textId="77777777">
            <w:pPr>
              <w:spacing w:after="0"/>
              <w:rPr>
                <w:sz w:val="18"/>
                <w:szCs w:val="18"/>
              </w:rPr>
            </w:pPr>
            <w:r w:rsidRPr="00E919ED">
              <w:rPr>
                <w:rFonts w:ascii="Calibri" w:hAnsi="Calibri" w:eastAsia="Calibri" w:cs="Calibri"/>
                <w:color w:val="000000" w:themeColor="text1"/>
                <w:sz w:val="18"/>
                <w:szCs w:val="18"/>
              </w:rPr>
              <w:t>156 days per annum</w:t>
            </w:r>
          </w:p>
        </w:tc>
      </w:tr>
      <w:tr w:rsidRPr="00E919ED" w:rsidR="00B96C60" w:rsidTr="00113FE4" w14:paraId="537D3F0A"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752C351" w14:textId="77777777">
            <w:pPr>
              <w:spacing w:after="0"/>
              <w:rPr>
                <w:sz w:val="18"/>
                <w:szCs w:val="18"/>
              </w:rPr>
            </w:pPr>
            <w:r w:rsidRPr="00E919ED">
              <w:rPr>
                <w:rFonts w:ascii="Calibri" w:hAnsi="Calibri" w:eastAsia="Calibri" w:cs="Calibri"/>
                <w:color w:val="000000" w:themeColor="text1"/>
                <w:sz w:val="18"/>
                <w:szCs w:val="18"/>
              </w:rPr>
              <w:t>Tiger stripe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D1BC4E8" w14:textId="77777777">
            <w:pPr>
              <w:spacing w:after="0"/>
              <w:rPr>
                <w:sz w:val="18"/>
                <w:szCs w:val="18"/>
              </w:rPr>
            </w:pPr>
            <w:r w:rsidRPr="00E919ED">
              <w:rPr>
                <w:rFonts w:ascii="Calibri" w:hAnsi="Calibri" w:eastAsia="Calibri" w:cs="Calibri"/>
                <w:color w:val="000000" w:themeColor="text1"/>
                <w:sz w:val="18"/>
                <w:szCs w:val="18"/>
              </w:rPr>
              <w:t>3</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D5DC0E4" w14:textId="77777777">
            <w:pPr>
              <w:spacing w:after="0"/>
              <w:rPr>
                <w:sz w:val="18"/>
                <w:szCs w:val="18"/>
              </w:rPr>
            </w:pPr>
            <w:r w:rsidRPr="00E919ED">
              <w:rPr>
                <w:rFonts w:ascii="Calibri" w:hAnsi="Calibri" w:eastAsia="Calibri" w:cs="Calibri"/>
                <w:color w:val="000000" w:themeColor="text1"/>
                <w:sz w:val="18"/>
                <w:szCs w:val="18"/>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0BD9EAE" w14:textId="77777777">
            <w:pPr>
              <w:spacing w:after="0"/>
              <w:rPr>
                <w:sz w:val="18"/>
                <w:szCs w:val="18"/>
              </w:rPr>
            </w:pPr>
            <w:r w:rsidRPr="00E919ED">
              <w:rPr>
                <w:rFonts w:ascii="Calibri" w:hAnsi="Calibri" w:eastAsia="Calibri" w:cs="Calibri"/>
                <w:color w:val="000000" w:themeColor="text1"/>
                <w:sz w:val="18"/>
                <w:szCs w:val="18"/>
              </w:rPr>
              <w:t>9</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57D475C"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2277F91"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055D44A" w14:textId="77777777">
            <w:pPr>
              <w:spacing w:after="0"/>
              <w:rPr>
                <w:sz w:val="18"/>
                <w:szCs w:val="18"/>
              </w:rPr>
            </w:pPr>
            <w:r w:rsidRPr="00E919ED">
              <w:rPr>
                <w:rFonts w:ascii="Calibri" w:hAnsi="Calibri" w:eastAsia="Calibri" w:cs="Calibri"/>
                <w:color w:val="000000" w:themeColor="text1"/>
                <w:sz w:val="18"/>
                <w:szCs w:val="18"/>
              </w:rPr>
              <w:t>2808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7BDE2F7"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AB8ED87" w14:textId="77777777">
            <w:pPr>
              <w:spacing w:after="0"/>
              <w:rPr>
                <w:sz w:val="18"/>
                <w:szCs w:val="18"/>
              </w:rPr>
            </w:pPr>
            <w:r w:rsidRPr="00E919ED">
              <w:rPr>
                <w:rFonts w:ascii="Calibri" w:hAnsi="Calibri" w:eastAsia="Calibri" w:cs="Calibri"/>
                <w:color w:val="000000" w:themeColor="text1"/>
                <w:sz w:val="18"/>
                <w:szCs w:val="18"/>
              </w:rPr>
              <w:t>156 days per annum</w:t>
            </w:r>
          </w:p>
        </w:tc>
      </w:tr>
      <w:tr w:rsidRPr="00E919ED" w:rsidR="00B96C60" w:rsidTr="00113FE4" w14:paraId="54946882"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6E84B29" w14:textId="77777777">
            <w:pPr>
              <w:spacing w:after="0"/>
              <w:rPr>
                <w:sz w:val="18"/>
                <w:szCs w:val="18"/>
              </w:rPr>
            </w:pPr>
            <w:r w:rsidRPr="00E919ED">
              <w:rPr>
                <w:rFonts w:ascii="Calibri" w:hAnsi="Calibri" w:eastAsia="Calibri" w:cs="Calibri"/>
                <w:color w:val="000000" w:themeColor="text1"/>
                <w:sz w:val="18"/>
                <w:szCs w:val="18"/>
              </w:rPr>
              <w:t>small black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8982649" w14:textId="77777777">
            <w:pPr>
              <w:spacing w:after="0"/>
              <w:rPr>
                <w:sz w:val="18"/>
                <w:szCs w:val="18"/>
              </w:rPr>
            </w:pPr>
            <w:r w:rsidRPr="00E919ED">
              <w:rPr>
                <w:rFonts w:ascii="Calibri" w:hAnsi="Calibri" w:eastAsia="Calibri" w:cs="Calibri"/>
                <w:color w:val="000000" w:themeColor="text1"/>
                <w:sz w:val="18"/>
                <w:szCs w:val="18"/>
              </w:rPr>
              <w:t>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0016F73" w14:textId="77777777">
            <w:pPr>
              <w:spacing w:after="0"/>
              <w:rPr>
                <w:sz w:val="18"/>
                <w:szCs w:val="18"/>
              </w:rPr>
            </w:pPr>
            <w:r w:rsidRPr="00E919ED">
              <w:rPr>
                <w:rFonts w:ascii="Calibri" w:hAnsi="Calibri" w:eastAsia="Calibri" w:cs="Calibri"/>
                <w:color w:val="000000" w:themeColor="text1"/>
                <w:sz w:val="18"/>
                <w:szCs w:val="18"/>
              </w:rPr>
              <w:t>1</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21D59B4" w14:textId="77777777">
            <w:pPr>
              <w:spacing w:after="0"/>
              <w:rPr>
                <w:sz w:val="18"/>
                <w:szCs w:val="18"/>
              </w:rPr>
            </w:pPr>
            <w:r w:rsidRPr="00E919ED">
              <w:rPr>
                <w:rFonts w:ascii="Calibri" w:hAnsi="Calibri" w:eastAsia="Calibri" w:cs="Calibri"/>
                <w:color w:val="000000" w:themeColor="text1"/>
                <w:sz w:val="18"/>
                <w:szCs w:val="18"/>
              </w:rPr>
              <w:t>1</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B0740CE"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04E06C4" w14:textId="77777777">
            <w:pPr>
              <w:spacing w:after="0"/>
              <w:rPr>
                <w:sz w:val="18"/>
                <w:szCs w:val="18"/>
              </w:rPr>
            </w:pPr>
            <w:r w:rsidRPr="00E919ED">
              <w:rPr>
                <w:rFonts w:ascii="Calibri" w:hAnsi="Calibri" w:eastAsia="Calibri" w:cs="Calibri"/>
                <w:color w:val="000000" w:themeColor="text1"/>
                <w:sz w:val="18"/>
                <w:szCs w:val="18"/>
              </w:rPr>
              <w:t>156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C663E49" w14:textId="77777777">
            <w:pPr>
              <w:rPr>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9702906"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E28EFC" w14:textId="77777777">
            <w:pPr>
              <w:spacing w:after="0"/>
              <w:rPr>
                <w:sz w:val="18"/>
                <w:szCs w:val="18"/>
              </w:rPr>
            </w:pPr>
            <w:r w:rsidRPr="00E919ED">
              <w:rPr>
                <w:rFonts w:ascii="Calibri" w:hAnsi="Calibri" w:eastAsia="Calibri" w:cs="Calibri"/>
                <w:color w:val="000000" w:themeColor="text1"/>
                <w:sz w:val="18"/>
                <w:szCs w:val="18"/>
              </w:rPr>
              <w:t>156 days per annum</w:t>
            </w:r>
          </w:p>
        </w:tc>
      </w:tr>
      <w:tr w:rsidRPr="00E919ED" w:rsidR="00B96C60" w:rsidTr="00113FE4" w14:paraId="1330D8E0"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C7A32F1" w14:textId="77777777">
            <w:pPr>
              <w:spacing w:after="0"/>
              <w:rPr>
                <w:sz w:val="18"/>
                <w:szCs w:val="18"/>
              </w:rPr>
            </w:pPr>
            <w:r w:rsidRPr="00E919ED">
              <w:rPr>
                <w:rFonts w:ascii="Calibri" w:hAnsi="Calibri" w:eastAsia="Calibri" w:cs="Calibri"/>
                <w:color w:val="000000" w:themeColor="text1"/>
                <w:sz w:val="18"/>
                <w:szCs w:val="18"/>
              </w:rPr>
              <w:t>Sharps- S-22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7014115" w14:textId="77777777">
            <w:pPr>
              <w:spacing w:after="0"/>
              <w:rPr>
                <w:sz w:val="18"/>
                <w:szCs w:val="18"/>
              </w:rPr>
            </w:pPr>
            <w:r w:rsidRPr="00E919ED">
              <w:rPr>
                <w:rFonts w:ascii="Calibri" w:hAnsi="Calibri" w:eastAsia="Calibri" w:cs="Calibri"/>
                <w:color w:val="000000" w:themeColor="text1"/>
                <w:sz w:val="18"/>
                <w:szCs w:val="18"/>
              </w:rPr>
              <w:t>3</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62AB44B" w14:textId="77777777">
            <w:pPr>
              <w:spacing w:after="0"/>
              <w:rPr>
                <w:sz w:val="18"/>
                <w:szCs w:val="18"/>
              </w:rPr>
            </w:pPr>
            <w:r w:rsidRPr="00E919ED">
              <w:rPr>
                <w:rFonts w:ascii="Calibri" w:hAnsi="Calibri" w:eastAsia="Calibri" w:cs="Calibri"/>
                <w:color w:val="000000" w:themeColor="text1"/>
                <w:sz w:val="18"/>
                <w:szCs w:val="18"/>
              </w:rPr>
              <w:t>2.5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F539025"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CD8854" w14:textId="77777777">
            <w:pPr>
              <w:spacing w:after="0"/>
              <w:rPr>
                <w:sz w:val="18"/>
                <w:szCs w:val="18"/>
              </w:rPr>
            </w:pPr>
            <w:r w:rsidRPr="00E919ED">
              <w:rPr>
                <w:rFonts w:ascii="Calibri" w:hAnsi="Calibri" w:eastAsia="Calibri" w:cs="Calibri"/>
                <w:color w:val="000000" w:themeColor="text1"/>
                <w:sz w:val="18"/>
                <w:szCs w:val="18"/>
              </w:rPr>
              <w:t>2.5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EF3AA6C"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4DDDC01" w14:textId="77777777">
            <w:pPr>
              <w:spacing w:after="0"/>
              <w:rPr>
                <w:sz w:val="18"/>
                <w:szCs w:val="18"/>
              </w:rPr>
            </w:pPr>
            <w:r w:rsidRPr="00E919ED">
              <w:rPr>
                <w:rFonts w:ascii="Calibri" w:hAnsi="Calibri" w:eastAsia="Calibri" w:cs="Calibri"/>
                <w:color w:val="000000" w:themeColor="text1"/>
                <w:sz w:val="18"/>
                <w:szCs w:val="18"/>
              </w:rPr>
              <w:t>130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E4E0C58" w14:textId="77777777">
            <w:pPr>
              <w:rPr>
                <w:sz w:val="18"/>
                <w:szCs w:val="1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33C8116" w14:textId="77777777">
            <w:pPr>
              <w:spacing w:after="0"/>
              <w:rPr>
                <w:sz w:val="18"/>
                <w:szCs w:val="18"/>
              </w:rPr>
            </w:pPr>
            <w:r w:rsidRPr="00E919ED">
              <w:rPr>
                <w:rFonts w:ascii="Calibri" w:hAnsi="Calibri" w:eastAsia="Calibri" w:cs="Calibri"/>
                <w:color w:val="000000" w:themeColor="text1"/>
                <w:sz w:val="18"/>
                <w:szCs w:val="18"/>
              </w:rPr>
              <w:t xml:space="preserve">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7292EFC2"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3FCBF79" w14:textId="77777777">
            <w:pPr>
              <w:spacing w:after="0"/>
              <w:rPr>
                <w:sz w:val="18"/>
                <w:szCs w:val="18"/>
              </w:rPr>
            </w:pPr>
            <w:r w:rsidRPr="00E919ED">
              <w:rPr>
                <w:rFonts w:ascii="Calibri" w:hAnsi="Calibri" w:eastAsia="Calibri" w:cs="Calibri"/>
                <w:color w:val="000000" w:themeColor="text1"/>
                <w:sz w:val="18"/>
                <w:szCs w:val="18"/>
              </w:rPr>
              <w:t>Confidential waste</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24A6458" w14:textId="77777777">
            <w:pPr>
              <w:spacing w:after="0"/>
              <w:rPr>
                <w:sz w:val="18"/>
                <w:szCs w:val="18"/>
              </w:rPr>
            </w:pPr>
            <w:r w:rsidRPr="00E919ED">
              <w:rPr>
                <w:rFonts w:ascii="Calibri" w:hAnsi="Calibri" w:eastAsia="Calibri" w:cs="Calibri"/>
                <w:color w:val="000000" w:themeColor="text1"/>
                <w:sz w:val="18"/>
                <w:szCs w:val="18"/>
              </w:rPr>
              <w:t>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1AF84037" w14:textId="77777777">
            <w:pPr>
              <w:spacing w:after="0"/>
              <w:rPr>
                <w:sz w:val="18"/>
                <w:szCs w:val="18"/>
              </w:rPr>
            </w:pPr>
            <w:r w:rsidRPr="00E919ED">
              <w:rPr>
                <w:rFonts w:ascii="Calibri" w:hAnsi="Calibri" w:eastAsia="Calibri" w:cs="Calibri"/>
                <w:color w:val="000000" w:themeColor="text1"/>
                <w:sz w:val="18"/>
                <w:szCs w:val="18"/>
              </w:rPr>
              <w:t>10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0C432F4"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1E3A497" w14:textId="77777777">
            <w:pPr>
              <w:spacing w:after="0"/>
              <w:rPr>
                <w:sz w:val="18"/>
                <w:szCs w:val="18"/>
              </w:rPr>
            </w:pPr>
            <w:r w:rsidRPr="00E919ED">
              <w:rPr>
                <w:rFonts w:ascii="Calibri" w:hAnsi="Calibri" w:eastAsia="Calibri" w:cs="Calibri"/>
                <w:color w:val="000000" w:themeColor="text1"/>
                <w:sz w:val="18"/>
                <w:szCs w:val="18"/>
              </w:rPr>
              <w:t>10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52E088D"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20ADEF0" w14:textId="77777777">
            <w:pPr>
              <w:spacing w:after="0"/>
              <w:rPr>
                <w:sz w:val="18"/>
                <w:szCs w:val="18"/>
              </w:rPr>
            </w:pPr>
            <w:r w:rsidRPr="00E919ED">
              <w:rPr>
                <w:rFonts w:ascii="Calibri" w:hAnsi="Calibri" w:eastAsia="Calibri" w:cs="Calibri"/>
                <w:color w:val="000000" w:themeColor="text1"/>
                <w:sz w:val="18"/>
                <w:szCs w:val="18"/>
              </w:rPr>
              <w:t>520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6179599" w14:textId="77777777">
            <w:pPr>
              <w:spacing w:after="0"/>
              <w:rPr>
                <w:sz w:val="18"/>
                <w:szCs w:val="18"/>
              </w:rPr>
            </w:pPr>
            <w:r w:rsidRPr="00E919ED">
              <w:rPr>
                <w:rFonts w:ascii="Calibri" w:hAnsi="Calibri" w:eastAsia="Calibri" w:cs="Calibri"/>
                <w:color w:val="000000" w:themeColor="text1"/>
                <w:sz w:val="18"/>
                <w:szCs w:val="18"/>
              </w:rPr>
              <w:t>520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1D2E473" w14:textId="77777777">
            <w:pPr>
              <w:spacing w:after="0"/>
              <w:rPr>
                <w:sz w:val="18"/>
                <w:szCs w:val="18"/>
              </w:rPr>
            </w:pPr>
            <w:r w:rsidRPr="00E919ED">
              <w:rPr>
                <w:rFonts w:ascii="Calibri" w:hAnsi="Calibri" w:eastAsia="Calibri" w:cs="Calibri"/>
                <w:color w:val="000000" w:themeColor="text1"/>
                <w:sz w:val="18"/>
                <w:szCs w:val="18"/>
              </w:rPr>
              <w:t xml:space="preserve">2 bags every 2 weeks scaled </w:t>
            </w:r>
            <w:proofErr w:type="gramStart"/>
            <w:r w:rsidRPr="00E919ED">
              <w:rPr>
                <w:rFonts w:ascii="Calibri" w:hAnsi="Calibri" w:eastAsia="Calibri" w:cs="Calibri"/>
                <w:color w:val="000000" w:themeColor="text1"/>
                <w:sz w:val="18"/>
                <w:szCs w:val="18"/>
              </w:rPr>
              <w:t>to</w:t>
            </w:r>
            <w:proofErr w:type="gramEnd"/>
            <w:r w:rsidRPr="00E919ED">
              <w:rPr>
                <w:rFonts w:ascii="Calibri" w:hAnsi="Calibri" w:eastAsia="Calibri" w:cs="Calibri"/>
                <w:color w:val="000000" w:themeColor="text1"/>
                <w:sz w:val="18"/>
                <w:szCs w:val="18"/>
              </w:rPr>
              <w:t xml:space="preserve"> weekly</w:t>
            </w:r>
          </w:p>
        </w:tc>
      </w:tr>
      <w:tr w:rsidRPr="00E919ED" w:rsidR="00B96C60" w:rsidTr="00113FE4" w14:paraId="7E5E69A7"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0A04D978" w14:textId="77777777">
            <w:pPr>
              <w:spacing w:after="0"/>
              <w:rPr>
                <w:sz w:val="18"/>
                <w:szCs w:val="18"/>
              </w:rPr>
            </w:pPr>
            <w:r w:rsidRPr="00E919ED">
              <w:rPr>
                <w:rFonts w:ascii="Calibri" w:hAnsi="Calibri" w:eastAsia="Calibri" w:cs="Calibri"/>
                <w:color w:val="000000" w:themeColor="text1"/>
                <w:sz w:val="18"/>
                <w:szCs w:val="18"/>
              </w:rPr>
              <w:t>Total</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77178AF6"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5D3AEC50"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38889719"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6B197258"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A44991F" w14:textId="77777777">
            <w:pPr>
              <w:spacing w:after="0"/>
              <w:rPr>
                <w:sz w:val="18"/>
                <w:szCs w:val="18"/>
              </w:rPr>
            </w:pPr>
            <w:r w:rsidRPr="00E919ED">
              <w:rPr>
                <w:rFonts w:ascii="Calibri" w:hAnsi="Calibri" w:eastAsia="Calibri" w:cs="Calibri"/>
                <w:color w:val="000000" w:themeColor="text1"/>
                <w:sz w:val="18"/>
                <w:szCs w:val="18"/>
              </w:rPr>
              <w:t>1404</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4B31D8B" w14:textId="77777777">
            <w:pPr>
              <w:spacing w:after="0"/>
              <w:rPr>
                <w:sz w:val="18"/>
                <w:szCs w:val="18"/>
              </w:rPr>
            </w:pPr>
            <w:r w:rsidRPr="00E919ED">
              <w:rPr>
                <w:rFonts w:ascii="Calibri" w:hAnsi="Calibri" w:eastAsia="Calibri" w:cs="Calibri"/>
                <w:color w:val="000000" w:themeColor="text1"/>
                <w:sz w:val="18"/>
                <w:szCs w:val="18"/>
              </w:rPr>
              <w:t>3458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26812AD3" w14:textId="77777777">
            <w:pPr>
              <w:spacing w:after="0"/>
              <w:rPr>
                <w:sz w:val="18"/>
                <w:szCs w:val="18"/>
              </w:rPr>
            </w:pPr>
            <w:r w:rsidRPr="00E919ED">
              <w:rPr>
                <w:rFonts w:ascii="Calibri" w:hAnsi="Calibri" w:eastAsia="Calibri" w:cs="Calibri"/>
                <w:color w:val="000000" w:themeColor="text1"/>
                <w:sz w:val="18"/>
                <w:szCs w:val="18"/>
              </w:rPr>
              <w:t>520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Pr="00E919ED" w:rsidR="00B96C60" w:rsidP="009D1A27" w:rsidRDefault="00B96C60" w14:paraId="4454A583" w14:textId="77777777">
            <w:pPr>
              <w:rPr>
                <w:sz w:val="18"/>
                <w:szCs w:val="18"/>
              </w:rPr>
            </w:pPr>
          </w:p>
        </w:tc>
      </w:tr>
      <w:tr w:rsidRPr="00E919ED" w:rsidR="00C669E5" w:rsidTr="00113FE4" w14:paraId="438B3686"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07082E6C" w14:textId="77777777">
            <w:pPr>
              <w:spacing w:after="0"/>
              <w:rPr>
                <w:sz w:val="18"/>
                <w:szCs w:val="18"/>
              </w:rPr>
            </w:pPr>
            <w:r w:rsidRPr="00E919ED">
              <w:rPr>
                <w:rFonts w:ascii="Calibri" w:hAnsi="Calibri" w:eastAsia="Calibri" w:cs="Calibri"/>
                <w:b/>
                <w:bCs/>
                <w:sz w:val="18"/>
                <w:szCs w:val="18"/>
              </w:rPr>
              <w:t>Annual weight kg</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5FE9975C"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1F60921F"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56D25FBD"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5FAFC381"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74EC10A4" w14:textId="77777777">
            <w:pPr>
              <w:spacing w:after="0"/>
              <w:rPr>
                <w:sz w:val="18"/>
                <w:szCs w:val="18"/>
              </w:rPr>
            </w:pPr>
            <w:r w:rsidRPr="00E919ED">
              <w:rPr>
                <w:rFonts w:ascii="Calibri" w:hAnsi="Calibri" w:eastAsia="Calibri" w:cs="Calibri"/>
                <w:b/>
                <w:bCs/>
                <w:sz w:val="18"/>
                <w:szCs w:val="18"/>
              </w:rPr>
              <w:t>15,756.00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1F47492F" w14:textId="77777777">
            <w:pPr>
              <w:spacing w:after="0"/>
              <w:rPr>
                <w:sz w:val="18"/>
                <w:szCs w:val="18"/>
              </w:rPr>
            </w:pPr>
            <w:r w:rsidRPr="00E919ED">
              <w:rPr>
                <w:rFonts w:ascii="Calibri" w:hAnsi="Calibri" w:eastAsia="Calibri" w:cs="Calibri"/>
                <w:b/>
                <w:bCs/>
                <w:sz w:val="18"/>
                <w:szCs w:val="18"/>
              </w:rPr>
              <w:t>52,686.40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0CCF4F3E" w14:textId="77777777">
            <w:pPr>
              <w:spacing w:after="0"/>
              <w:rPr>
                <w:sz w:val="18"/>
                <w:szCs w:val="18"/>
              </w:rPr>
            </w:pPr>
            <w:r w:rsidRPr="00E919ED">
              <w:rPr>
                <w:rFonts w:ascii="Calibri" w:hAnsi="Calibri" w:eastAsia="Calibri" w:cs="Calibri"/>
                <w:b/>
                <w:bCs/>
                <w:sz w:val="18"/>
                <w:szCs w:val="18"/>
              </w:rPr>
              <w:t>2,600.00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081FB5B9" w14:textId="77777777">
            <w:pPr>
              <w:rPr>
                <w:sz w:val="18"/>
                <w:szCs w:val="18"/>
              </w:rPr>
            </w:pPr>
          </w:p>
        </w:tc>
      </w:tr>
      <w:tr w:rsidRPr="00E919ED" w:rsidR="00C669E5" w:rsidTr="00113FE4" w14:paraId="711EFBD9" w14:textId="77777777">
        <w:trPr>
          <w:trHeight w:val="300"/>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1D76D7" w14:paraId="4EB794FC" w14:textId="48CF76A3">
            <w:pPr>
              <w:spacing w:after="0"/>
              <w:rPr>
                <w:sz w:val="18"/>
                <w:szCs w:val="18"/>
              </w:rPr>
            </w:pPr>
            <w:r w:rsidRPr="00E919ED">
              <w:rPr>
                <w:rFonts w:ascii="Calibri" w:hAnsi="Calibri" w:eastAsia="Calibri" w:cs="Calibri"/>
                <w:b/>
                <w:bCs/>
                <w:sz w:val="18"/>
                <w:szCs w:val="18"/>
              </w:rPr>
              <w:t>A</w:t>
            </w:r>
            <w:r w:rsidRPr="00E919ED" w:rsidR="00B96C60">
              <w:rPr>
                <w:rFonts w:ascii="Calibri" w:hAnsi="Calibri" w:eastAsia="Calibri" w:cs="Calibri"/>
                <w:b/>
                <w:bCs/>
                <w:sz w:val="18"/>
                <w:szCs w:val="18"/>
              </w:rPr>
              <w:t>nnual weight in Tonnes</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73DB6D5F" w14:textId="77777777">
            <w:pPr>
              <w:rPr>
                <w:sz w:val="18"/>
                <w:szCs w:val="18"/>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43FFCFF2"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47D94943"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75DC5AB7" w14:textId="77777777">
            <w:pPr>
              <w:rPr>
                <w:sz w:val="18"/>
                <w:szCs w:val="18"/>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21911458" w14:textId="77777777">
            <w:pPr>
              <w:spacing w:after="0"/>
              <w:rPr>
                <w:sz w:val="18"/>
                <w:szCs w:val="18"/>
              </w:rPr>
            </w:pPr>
            <w:r w:rsidRPr="00E919ED">
              <w:rPr>
                <w:rFonts w:ascii="Calibri" w:hAnsi="Calibri" w:eastAsia="Calibri" w:cs="Calibri"/>
                <w:b/>
                <w:bCs/>
                <w:sz w:val="18"/>
                <w:szCs w:val="18"/>
              </w:rPr>
              <w:t>15.8</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55C6432B" w14:textId="77777777">
            <w:pPr>
              <w:spacing w:after="0"/>
              <w:rPr>
                <w:sz w:val="18"/>
                <w:szCs w:val="18"/>
              </w:rPr>
            </w:pPr>
            <w:r w:rsidRPr="00E919ED">
              <w:rPr>
                <w:rFonts w:ascii="Calibri" w:hAnsi="Calibri" w:eastAsia="Calibri" w:cs="Calibri"/>
                <w:b/>
                <w:bCs/>
                <w:sz w:val="18"/>
                <w:szCs w:val="18"/>
              </w:rPr>
              <w:t>52.7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320BA23D" w14:textId="77777777">
            <w:pPr>
              <w:spacing w:after="0"/>
              <w:rPr>
                <w:sz w:val="18"/>
                <w:szCs w:val="18"/>
              </w:rPr>
            </w:pPr>
            <w:r w:rsidRPr="00E919ED">
              <w:rPr>
                <w:rFonts w:ascii="Calibri" w:hAnsi="Calibri" w:eastAsia="Calibri" w:cs="Calibri"/>
                <w:b/>
                <w:bCs/>
                <w:sz w:val="18"/>
                <w:szCs w:val="18"/>
              </w:rPr>
              <w:t>2.6</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top w:w="15" w:type="dxa"/>
              <w:left w:w="15" w:type="dxa"/>
              <w:right w:w="15" w:type="dxa"/>
            </w:tcMar>
            <w:vAlign w:val="bottom"/>
          </w:tcPr>
          <w:p w:rsidRPr="00E919ED" w:rsidR="00B96C60" w:rsidP="009D1A27" w:rsidRDefault="00B96C60" w14:paraId="035BBAEE" w14:textId="77777777">
            <w:pPr>
              <w:rPr>
                <w:sz w:val="18"/>
                <w:szCs w:val="18"/>
              </w:rPr>
            </w:pPr>
          </w:p>
        </w:tc>
      </w:tr>
    </w:tbl>
    <w:p w:rsidR="000263B2" w:rsidP="000263B2" w:rsidRDefault="000263B2" w14:paraId="5FE72F98" w14:textId="77777777">
      <w:pPr>
        <w:rPr>
          <w:b/>
          <w:bCs/>
          <w:color w:val="538135" w:themeColor="accent6" w:themeShade="BF"/>
          <w:sz w:val="24"/>
          <w:szCs w:val="24"/>
        </w:rPr>
      </w:pPr>
    </w:p>
    <w:p w:rsidR="000263B2" w:rsidP="003266B1" w:rsidRDefault="000263B2" w14:paraId="285EDC65" w14:textId="424D19DF">
      <w:pPr>
        <w:ind w:firstLine="426"/>
        <w:rPr>
          <w:b/>
          <w:bCs/>
          <w:color w:val="538135" w:themeColor="accent6" w:themeShade="BF"/>
        </w:rPr>
      </w:pPr>
      <w:r w:rsidRPr="003266B1">
        <w:t>The annual emissions associated with waste disposal equates to</w:t>
      </w:r>
      <w:r w:rsidRPr="003266B1">
        <w:rPr>
          <w:b/>
          <w:bCs/>
        </w:rPr>
        <w:t xml:space="preserve"> </w:t>
      </w:r>
      <w:r w:rsidRPr="003266B1" w:rsidR="00094C77">
        <w:rPr>
          <w:b/>
          <w:bCs/>
          <w:color w:val="538135" w:themeColor="accent6" w:themeShade="BF"/>
        </w:rPr>
        <w:t>45,613 kgCO</w:t>
      </w:r>
      <w:r w:rsidRPr="003266B1" w:rsidR="00094C77">
        <w:rPr>
          <w:b/>
          <w:bCs/>
          <w:color w:val="538135" w:themeColor="accent6" w:themeShade="BF"/>
          <w:vertAlign w:val="subscript"/>
        </w:rPr>
        <w:t>2</w:t>
      </w:r>
      <w:r w:rsidRPr="003266B1" w:rsidR="00094C77">
        <w:rPr>
          <w:b/>
          <w:bCs/>
          <w:color w:val="538135" w:themeColor="accent6" w:themeShade="BF"/>
        </w:rPr>
        <w:t>e</w:t>
      </w:r>
      <w:r w:rsidR="00CC67B3">
        <w:rPr>
          <w:b/>
          <w:bCs/>
          <w:color w:val="538135" w:themeColor="accent6" w:themeShade="BF"/>
        </w:rPr>
        <w:t>.</w:t>
      </w:r>
    </w:p>
    <w:p w:rsidR="00911850" w:rsidP="00475579" w:rsidRDefault="00CC445F" w14:paraId="39A4362F" w14:textId="33CADD99">
      <w:pPr>
        <w:ind w:left="426"/>
        <w:jc w:val="both"/>
      </w:pPr>
      <w:r w:rsidRPr="00CC445F">
        <w:t xml:space="preserve">There is </w:t>
      </w:r>
      <w:r>
        <w:t xml:space="preserve">a significant amount of clinical waste associated with </w:t>
      </w:r>
      <w:r w:rsidR="00941C92">
        <w:t>H</w:t>
      </w:r>
      <w:r>
        <w:t>aemodialysis</w:t>
      </w:r>
      <w:r w:rsidR="00AA4173">
        <w:t>, from observed practice staff often place all the packaging into the clinical waste</w:t>
      </w:r>
      <w:r w:rsidR="00C2017E">
        <w:t xml:space="preserve"> stream</w:t>
      </w:r>
      <w:r w:rsidR="00614894">
        <w:t xml:space="preserve"> which should be </w:t>
      </w:r>
      <w:r w:rsidR="00366D46">
        <w:t>disposed of via the recycling waste stream. This is due to this being the easiest option as there is no recycling bins</w:t>
      </w:r>
      <w:r w:rsidR="00504437">
        <w:t xml:space="preserve"> </w:t>
      </w:r>
      <w:r w:rsidR="007C4873">
        <w:t>readily accessible</w:t>
      </w:r>
      <w:r w:rsidR="00366D46">
        <w:t xml:space="preserve"> in the clinical area. The recommendation made is:</w:t>
      </w:r>
    </w:p>
    <w:p w:rsidR="00366D46" w:rsidP="004808C7" w:rsidRDefault="0090299D" w14:paraId="49C8C03C" w14:textId="485D61F8">
      <w:pPr>
        <w:pStyle w:val="ListParagraph"/>
        <w:numPr>
          <w:ilvl w:val="0"/>
          <w:numId w:val="10"/>
        </w:numPr>
        <w:jc w:val="both"/>
        <w:rPr>
          <w:b/>
          <w:bCs/>
          <w:color w:val="538135" w:themeColor="accent6" w:themeShade="BF"/>
        </w:rPr>
      </w:pPr>
      <w:r w:rsidRPr="0090299D">
        <w:rPr>
          <w:b/>
          <w:bCs/>
          <w:color w:val="538135" w:themeColor="accent6" w:themeShade="BF"/>
        </w:rPr>
        <w:t>Improve waste streams and introduce recycling</w:t>
      </w:r>
      <w:r w:rsidRPr="005E4BAB">
        <w:rPr>
          <w:rFonts w:asciiTheme="minorHAnsi" w:hAnsiTheme="minorHAnsi" w:cstheme="minorHAnsi"/>
        </w:rPr>
        <w:t>.</w:t>
      </w:r>
      <w:r w:rsidR="00B60FA3">
        <w:rPr>
          <w:rFonts w:asciiTheme="minorHAnsi" w:hAnsiTheme="minorHAnsi" w:cstheme="minorHAnsi"/>
        </w:rPr>
        <w:t xml:space="preserve"> </w:t>
      </w:r>
      <w:r w:rsidRPr="00B60FA3" w:rsidR="00B60FA3">
        <w:rPr>
          <w:b/>
          <w:bCs/>
          <w:color w:val="538135" w:themeColor="accent6" w:themeShade="BF"/>
        </w:rPr>
        <w:t xml:space="preserve">This would be done by </w:t>
      </w:r>
      <w:r w:rsidR="00B60FA3">
        <w:rPr>
          <w:b/>
          <w:bCs/>
          <w:color w:val="538135" w:themeColor="accent6" w:themeShade="BF"/>
        </w:rPr>
        <w:t xml:space="preserve">adopting the </w:t>
      </w:r>
      <w:r w:rsidR="00941C92">
        <w:rPr>
          <w:b/>
          <w:bCs/>
          <w:color w:val="538135" w:themeColor="accent6" w:themeShade="BF"/>
        </w:rPr>
        <w:t>“</w:t>
      </w:r>
      <w:r w:rsidR="00B60FA3">
        <w:rPr>
          <w:b/>
          <w:bCs/>
          <w:color w:val="538135" w:themeColor="accent6" w:themeShade="BF"/>
        </w:rPr>
        <w:t>bag to bed</w:t>
      </w:r>
      <w:r w:rsidR="00941C92">
        <w:rPr>
          <w:b/>
          <w:bCs/>
          <w:color w:val="538135" w:themeColor="accent6" w:themeShade="BF"/>
        </w:rPr>
        <w:t>”</w:t>
      </w:r>
      <w:r w:rsidR="00B60FA3">
        <w:rPr>
          <w:b/>
          <w:bCs/>
          <w:color w:val="538135" w:themeColor="accent6" w:themeShade="BF"/>
        </w:rPr>
        <w:t xml:space="preserve"> system, ensuring there is a </w:t>
      </w:r>
      <w:r w:rsidR="00C94D03">
        <w:rPr>
          <w:b/>
          <w:bCs/>
          <w:color w:val="538135" w:themeColor="accent6" w:themeShade="BF"/>
        </w:rPr>
        <w:t>recycling</w:t>
      </w:r>
      <w:r w:rsidR="00B60FA3">
        <w:rPr>
          <w:b/>
          <w:bCs/>
          <w:color w:val="538135" w:themeColor="accent6" w:themeShade="BF"/>
        </w:rPr>
        <w:t xml:space="preserve"> option for the </w:t>
      </w:r>
      <w:r w:rsidR="00C94D03">
        <w:rPr>
          <w:b/>
          <w:bCs/>
          <w:color w:val="538135" w:themeColor="accent6" w:themeShade="BF"/>
        </w:rPr>
        <w:t xml:space="preserve">packaging. Staff education is key, especially with the separation of paper and plastic packaging to ensure that this can be fully recycled at the disposal </w:t>
      </w:r>
      <w:r w:rsidR="004808C7">
        <w:rPr>
          <w:b/>
          <w:bCs/>
          <w:color w:val="538135" w:themeColor="accent6" w:themeShade="BF"/>
        </w:rPr>
        <w:t>centre</w:t>
      </w:r>
      <w:r w:rsidR="00C94D03">
        <w:rPr>
          <w:b/>
          <w:bCs/>
          <w:color w:val="538135" w:themeColor="accent6" w:themeShade="BF"/>
        </w:rPr>
        <w:t>.</w:t>
      </w:r>
    </w:p>
    <w:p w:rsidRPr="004808C7" w:rsidR="004808C7" w:rsidP="004808C7" w:rsidRDefault="004808C7" w14:paraId="79BAB669" w14:textId="77777777">
      <w:pPr>
        <w:pStyle w:val="ListParagraph"/>
        <w:ind w:left="1080"/>
        <w:jc w:val="both"/>
        <w:rPr>
          <w:b/>
          <w:bCs/>
          <w:color w:val="538135" w:themeColor="accent6" w:themeShade="BF"/>
        </w:rPr>
      </w:pPr>
    </w:p>
    <w:p w:rsidRPr="00F062F8" w:rsidR="00576237" w:rsidP="00FD0F85" w:rsidRDefault="005A03D9" w14:paraId="63C1DD1D" w14:textId="70CAD70B">
      <w:pPr>
        <w:pStyle w:val="ListParagraph"/>
        <w:numPr>
          <w:ilvl w:val="1"/>
          <w:numId w:val="30"/>
        </w:numPr>
        <w:ind w:left="993" w:hanging="567"/>
        <w:rPr>
          <w:b/>
          <w:bCs/>
          <w:color w:val="538135" w:themeColor="accent6" w:themeShade="BF"/>
          <w:sz w:val="24"/>
          <w:szCs w:val="24"/>
        </w:rPr>
      </w:pPr>
      <w:r w:rsidRPr="00F062F8">
        <w:rPr>
          <w:b/>
          <w:bCs/>
          <w:color w:val="538135" w:themeColor="accent6" w:themeShade="BF"/>
          <w:sz w:val="24"/>
          <w:szCs w:val="24"/>
        </w:rPr>
        <w:t xml:space="preserve"> </w:t>
      </w:r>
      <w:r w:rsidRPr="00F062F8" w:rsidR="00B96C60">
        <w:rPr>
          <w:b/>
          <w:bCs/>
          <w:color w:val="538135" w:themeColor="accent6" w:themeShade="BF"/>
          <w:sz w:val="24"/>
          <w:szCs w:val="24"/>
        </w:rPr>
        <w:t xml:space="preserve">Water &amp; </w:t>
      </w:r>
      <w:r w:rsidRPr="00F062F8" w:rsidR="00576237">
        <w:rPr>
          <w:b/>
          <w:bCs/>
          <w:color w:val="538135" w:themeColor="accent6" w:themeShade="BF"/>
          <w:sz w:val="24"/>
          <w:szCs w:val="24"/>
        </w:rPr>
        <w:t>water treatment</w:t>
      </w:r>
    </w:p>
    <w:p w:rsidRPr="003266B1" w:rsidR="143C490F" w:rsidP="00475579" w:rsidRDefault="009476A7" w14:paraId="452F0FA3" w14:textId="3A37D540">
      <w:pPr>
        <w:ind w:left="426"/>
        <w:jc w:val="both"/>
      </w:pPr>
      <w:r w:rsidRPr="003266B1">
        <w:t xml:space="preserve">The data was provided by the estates department </w:t>
      </w:r>
      <w:r w:rsidRPr="003266B1" w:rsidR="0056296C">
        <w:t>with an estimate of 1,650</w:t>
      </w:r>
      <w:r w:rsidRPr="003266B1" w:rsidR="00A22804">
        <w:t xml:space="preserve"> </w:t>
      </w:r>
      <w:r w:rsidRPr="003266B1" w:rsidR="0056296C">
        <w:t>m3</w:t>
      </w:r>
      <w:r w:rsidRPr="003266B1" w:rsidR="00A22804">
        <w:t xml:space="preserve"> per unit/ annum.</w:t>
      </w:r>
      <w:r w:rsidRPr="003266B1" w:rsidR="004B1A3E">
        <w:t xml:space="preserve"> This totalled </w:t>
      </w:r>
      <w:r w:rsidRPr="003266B1" w:rsidR="00DD2D35">
        <w:t xml:space="preserve">4950 m3 for </w:t>
      </w:r>
      <w:r w:rsidR="00C50D9D">
        <w:t>t</w:t>
      </w:r>
      <w:r w:rsidRPr="003266B1" w:rsidR="00DD2D35">
        <w:t xml:space="preserve">he Peter Moorhead Unit, Renal unit G and </w:t>
      </w:r>
      <w:r w:rsidRPr="003266B1" w:rsidR="006A527B">
        <w:t>Vickers 1.</w:t>
      </w:r>
    </w:p>
    <w:tbl>
      <w:tblPr>
        <w:tblStyle w:val="TableGrid"/>
        <w:tblW w:w="0" w:type="auto"/>
        <w:tblInd w:w="360" w:type="dxa"/>
        <w:tblLook w:val="04A0" w:firstRow="1" w:lastRow="0" w:firstColumn="1" w:lastColumn="0" w:noHBand="0" w:noVBand="1"/>
      </w:tblPr>
      <w:tblGrid>
        <w:gridCol w:w="4983"/>
        <w:gridCol w:w="4717"/>
      </w:tblGrid>
      <w:tr w:rsidRPr="00D73E7C" w:rsidR="00B32B40" w14:paraId="38777E0D" w14:textId="77777777">
        <w:tc>
          <w:tcPr>
            <w:tcW w:w="4983" w:type="dxa"/>
            <w:shd w:val="clear" w:color="auto" w:fill="002060"/>
          </w:tcPr>
          <w:p w:rsidRPr="00D73E7C" w:rsidR="00B32B40" w:rsidRDefault="00B32B40" w14:paraId="133DCE15" w14:textId="77777777">
            <w:pPr>
              <w:rPr>
                <w:color w:val="FFFFFF" w:themeColor="background1"/>
                <w:sz w:val="24"/>
                <w:szCs w:val="24"/>
              </w:rPr>
            </w:pPr>
            <w:r w:rsidRPr="00D73E7C">
              <w:rPr>
                <w:color w:val="FFFFFF" w:themeColor="background1"/>
                <w:sz w:val="24"/>
                <w:szCs w:val="24"/>
              </w:rPr>
              <w:lastRenderedPageBreak/>
              <w:t>Ward/ unit</w:t>
            </w:r>
          </w:p>
        </w:tc>
        <w:tc>
          <w:tcPr>
            <w:tcW w:w="4717" w:type="dxa"/>
            <w:shd w:val="clear" w:color="auto" w:fill="002060"/>
          </w:tcPr>
          <w:p w:rsidRPr="00D73E7C" w:rsidR="002D2A96" w:rsidP="002D2A96" w:rsidRDefault="00B32B40" w14:paraId="4517ADE8" w14:textId="7D0C5533">
            <w:pPr>
              <w:jc w:val="center"/>
              <w:rPr>
                <w:color w:val="FFFFFF" w:themeColor="background1"/>
                <w:sz w:val="24"/>
                <w:szCs w:val="24"/>
              </w:rPr>
            </w:pPr>
            <w:r>
              <w:rPr>
                <w:color w:val="FFFFFF" w:themeColor="background1"/>
                <w:sz w:val="24"/>
                <w:szCs w:val="24"/>
              </w:rPr>
              <w:t xml:space="preserve">Water </w:t>
            </w:r>
            <w:r w:rsidR="002D2A96">
              <w:rPr>
                <w:color w:val="FFFFFF" w:themeColor="background1"/>
                <w:sz w:val="24"/>
                <w:szCs w:val="24"/>
              </w:rPr>
              <w:t>Usage m3</w:t>
            </w:r>
          </w:p>
        </w:tc>
      </w:tr>
      <w:tr w:rsidR="00B32B40" w14:paraId="220F8D05" w14:textId="77777777">
        <w:tc>
          <w:tcPr>
            <w:tcW w:w="4983" w:type="dxa"/>
          </w:tcPr>
          <w:p w:rsidR="00B32B40" w:rsidRDefault="00B32B40" w14:paraId="5B2B95EF" w14:textId="77777777">
            <w:pPr>
              <w:rPr>
                <w:sz w:val="24"/>
                <w:szCs w:val="24"/>
              </w:rPr>
            </w:pPr>
            <w:r>
              <w:rPr>
                <w:sz w:val="24"/>
                <w:szCs w:val="24"/>
              </w:rPr>
              <w:t>Peter Moorhead Unit</w:t>
            </w:r>
          </w:p>
        </w:tc>
        <w:tc>
          <w:tcPr>
            <w:tcW w:w="4717" w:type="dxa"/>
          </w:tcPr>
          <w:p w:rsidR="00B32B40" w:rsidRDefault="00E919ED" w14:paraId="3223CA2A" w14:textId="7A851EC8">
            <w:pPr>
              <w:jc w:val="center"/>
              <w:rPr>
                <w:sz w:val="24"/>
                <w:szCs w:val="24"/>
              </w:rPr>
            </w:pPr>
            <w:r>
              <w:rPr>
                <w:sz w:val="24"/>
                <w:szCs w:val="24"/>
              </w:rPr>
              <w:t>1,650</w:t>
            </w:r>
          </w:p>
        </w:tc>
      </w:tr>
      <w:tr w:rsidR="00B32B40" w14:paraId="2C2E271C" w14:textId="77777777">
        <w:tc>
          <w:tcPr>
            <w:tcW w:w="4983" w:type="dxa"/>
          </w:tcPr>
          <w:p w:rsidR="00B32B40" w:rsidRDefault="00B32B40" w14:paraId="49A1B189" w14:textId="77777777">
            <w:pPr>
              <w:rPr>
                <w:sz w:val="24"/>
                <w:szCs w:val="24"/>
              </w:rPr>
            </w:pPr>
            <w:r>
              <w:rPr>
                <w:sz w:val="24"/>
                <w:szCs w:val="24"/>
              </w:rPr>
              <w:t>Vickers 1</w:t>
            </w:r>
          </w:p>
        </w:tc>
        <w:tc>
          <w:tcPr>
            <w:tcW w:w="4717" w:type="dxa"/>
          </w:tcPr>
          <w:p w:rsidR="00B32B40" w:rsidRDefault="00E919ED" w14:paraId="5B24C1DD" w14:textId="17A50D07">
            <w:pPr>
              <w:jc w:val="center"/>
              <w:rPr>
                <w:sz w:val="24"/>
                <w:szCs w:val="24"/>
              </w:rPr>
            </w:pPr>
            <w:r>
              <w:rPr>
                <w:sz w:val="24"/>
                <w:szCs w:val="24"/>
              </w:rPr>
              <w:t>1,650</w:t>
            </w:r>
          </w:p>
        </w:tc>
      </w:tr>
      <w:tr w:rsidR="00B32B40" w14:paraId="347FD5E4" w14:textId="77777777">
        <w:tc>
          <w:tcPr>
            <w:tcW w:w="4983" w:type="dxa"/>
          </w:tcPr>
          <w:p w:rsidR="00B32B40" w:rsidRDefault="00B32B40" w14:paraId="019F1F43" w14:textId="77777777">
            <w:pPr>
              <w:rPr>
                <w:sz w:val="24"/>
                <w:szCs w:val="24"/>
              </w:rPr>
            </w:pPr>
            <w:r>
              <w:rPr>
                <w:sz w:val="24"/>
                <w:szCs w:val="24"/>
              </w:rPr>
              <w:t>Renal Unit G</w:t>
            </w:r>
          </w:p>
        </w:tc>
        <w:tc>
          <w:tcPr>
            <w:tcW w:w="4717" w:type="dxa"/>
          </w:tcPr>
          <w:p w:rsidR="00B32B40" w:rsidRDefault="00E919ED" w14:paraId="507F08C2" w14:textId="458FA9DD">
            <w:pPr>
              <w:jc w:val="center"/>
              <w:rPr>
                <w:sz w:val="24"/>
                <w:szCs w:val="24"/>
              </w:rPr>
            </w:pPr>
            <w:r>
              <w:rPr>
                <w:sz w:val="24"/>
                <w:szCs w:val="24"/>
              </w:rPr>
              <w:t>1,650</w:t>
            </w:r>
          </w:p>
        </w:tc>
      </w:tr>
      <w:tr w:rsidR="00B32B40" w14:paraId="32A686B6" w14:textId="77777777">
        <w:tc>
          <w:tcPr>
            <w:tcW w:w="4983" w:type="dxa"/>
            <w:shd w:val="clear" w:color="auto" w:fill="92D050"/>
          </w:tcPr>
          <w:p w:rsidR="00B32B40" w:rsidRDefault="00B32B40" w14:paraId="273D61D9" w14:textId="77777777">
            <w:pPr>
              <w:rPr>
                <w:sz w:val="24"/>
                <w:szCs w:val="24"/>
              </w:rPr>
            </w:pPr>
            <w:r>
              <w:rPr>
                <w:sz w:val="24"/>
                <w:szCs w:val="24"/>
              </w:rPr>
              <w:t>Total</w:t>
            </w:r>
          </w:p>
        </w:tc>
        <w:tc>
          <w:tcPr>
            <w:tcW w:w="4717" w:type="dxa"/>
            <w:shd w:val="clear" w:color="auto" w:fill="92D050"/>
          </w:tcPr>
          <w:p w:rsidR="00B32B40" w:rsidRDefault="00E919ED" w14:paraId="78DF8963" w14:textId="08B5B0F2">
            <w:pPr>
              <w:jc w:val="center"/>
              <w:rPr>
                <w:sz w:val="24"/>
                <w:szCs w:val="24"/>
              </w:rPr>
            </w:pPr>
            <w:r>
              <w:rPr>
                <w:sz w:val="24"/>
                <w:szCs w:val="24"/>
              </w:rPr>
              <w:t>4,950</w:t>
            </w:r>
          </w:p>
        </w:tc>
      </w:tr>
    </w:tbl>
    <w:p w:rsidR="00B32B40" w:rsidP="009476A7" w:rsidRDefault="00B32B40" w14:paraId="6B2E9CB2" w14:textId="77777777">
      <w:pPr>
        <w:rPr>
          <w:sz w:val="24"/>
          <w:szCs w:val="24"/>
        </w:rPr>
      </w:pPr>
    </w:p>
    <w:p w:rsidR="00AB0CDB" w:rsidP="00174485" w:rsidRDefault="00094C77" w14:paraId="26977121" w14:textId="5C3D5BF9">
      <w:pPr>
        <w:ind w:left="426"/>
        <w:rPr>
          <w:b/>
          <w:bCs/>
          <w:color w:val="538135" w:themeColor="accent6" w:themeShade="BF"/>
        </w:rPr>
      </w:pPr>
      <w:r w:rsidRPr="003266B1">
        <w:t xml:space="preserve">The annual emissions associated with water equate to </w:t>
      </w:r>
      <w:r w:rsidRPr="003266B1" w:rsidR="00965522">
        <w:rPr>
          <w:b/>
          <w:bCs/>
          <w:color w:val="538135" w:themeColor="accent6" w:themeShade="BF"/>
        </w:rPr>
        <w:t>10,147</w:t>
      </w:r>
      <w:r w:rsidRPr="003266B1" w:rsidR="00965522">
        <w:t xml:space="preserve"> </w:t>
      </w:r>
      <w:r w:rsidRPr="003266B1" w:rsidR="00965522">
        <w:rPr>
          <w:b/>
          <w:bCs/>
          <w:color w:val="538135" w:themeColor="accent6" w:themeShade="BF"/>
        </w:rPr>
        <w:t>kgCO</w:t>
      </w:r>
      <w:r w:rsidRPr="003266B1" w:rsidR="00965522">
        <w:rPr>
          <w:b/>
          <w:bCs/>
          <w:color w:val="538135" w:themeColor="accent6" w:themeShade="BF"/>
          <w:vertAlign w:val="subscript"/>
        </w:rPr>
        <w:t>2</w:t>
      </w:r>
      <w:r w:rsidRPr="003266B1" w:rsidR="00965522">
        <w:rPr>
          <w:b/>
          <w:bCs/>
          <w:color w:val="538135" w:themeColor="accent6" w:themeShade="BF"/>
        </w:rPr>
        <w:t>e</w:t>
      </w:r>
      <w:r w:rsidR="008B4297">
        <w:rPr>
          <w:b/>
          <w:bCs/>
          <w:color w:val="538135" w:themeColor="accent6" w:themeShade="BF"/>
        </w:rPr>
        <w:t>.</w:t>
      </w:r>
    </w:p>
    <w:p w:rsidRPr="00A16FD6" w:rsidR="004808C7" w:rsidP="00475579" w:rsidRDefault="008B4297" w14:paraId="4FBD67B5" w14:textId="4F041A06">
      <w:pPr>
        <w:ind w:left="426"/>
        <w:jc w:val="both"/>
      </w:pPr>
      <w:r>
        <w:t>W</w:t>
      </w:r>
      <w:r w:rsidRPr="00B3287C" w:rsidR="00713B6F">
        <w:t xml:space="preserve">ater use for the renal </w:t>
      </w:r>
      <w:r w:rsidR="00A26717">
        <w:t>wards</w:t>
      </w:r>
      <w:r w:rsidRPr="00B3287C" w:rsidR="00713B6F">
        <w:t xml:space="preserve"> is not </w:t>
      </w:r>
      <w:r w:rsidRPr="00B3287C" w:rsidR="005421DE">
        <w:t xml:space="preserve">metered, </w:t>
      </w:r>
      <w:r w:rsidR="005421DE">
        <w:t xml:space="preserve">therefore </w:t>
      </w:r>
      <w:r w:rsidRPr="00B3287C" w:rsidR="00713B6F">
        <w:t xml:space="preserve">the </w:t>
      </w:r>
      <w:r w:rsidRPr="00B3287C" w:rsidR="00836537">
        <w:t>figures provided</w:t>
      </w:r>
      <w:r w:rsidR="00A26717">
        <w:t xml:space="preserve"> in this report</w:t>
      </w:r>
      <w:r w:rsidRPr="00B3287C" w:rsidR="00836537">
        <w:t xml:space="preserve"> are estimate</w:t>
      </w:r>
      <w:r w:rsidR="005421DE">
        <w:t>d</w:t>
      </w:r>
      <w:r w:rsidRPr="00B3287C" w:rsidR="00EC31CC">
        <w:t>.</w:t>
      </w:r>
      <w:r w:rsidR="00EC31CC">
        <w:t xml:space="preserve"> Working in collaboration with the </w:t>
      </w:r>
      <w:r w:rsidR="005421DE">
        <w:t>E</w:t>
      </w:r>
      <w:r w:rsidR="00EC31CC">
        <w:t>states team</w:t>
      </w:r>
      <w:r w:rsidR="00A30FBF">
        <w:t>,</w:t>
      </w:r>
      <w:r w:rsidR="00EC31CC">
        <w:t xml:space="preserve"> options for metering and monthly data collection should be explored. This will allow a more accurate baseline to track any changes. The renal team are currently exploring the option for reducing </w:t>
      </w:r>
      <w:r w:rsidRPr="00850F28" w:rsidR="00850F28">
        <w:t>dialysate flow</w:t>
      </w:r>
      <w:r w:rsidR="00CC58C9">
        <w:t xml:space="preserve"> </w:t>
      </w:r>
      <w:r w:rsidR="007A4F9A">
        <w:t>whilst maintaining clinical outcomes</w:t>
      </w:r>
      <w:r w:rsidR="00E65D46">
        <w:t xml:space="preserve">. This will potentially allow for a reduction in water use for dialysis. This may not be suitable for all patients and is currently </w:t>
      </w:r>
      <w:r w:rsidR="00A16FD6">
        <w:t>at the discussion stage. The recommendation made is:</w:t>
      </w:r>
    </w:p>
    <w:p w:rsidR="006602AE" w:rsidP="004808C7" w:rsidRDefault="00A16FD6" w14:paraId="1ABA09B6" w14:textId="245F9EC4">
      <w:pPr>
        <w:pStyle w:val="ListParagraph"/>
        <w:numPr>
          <w:ilvl w:val="0"/>
          <w:numId w:val="10"/>
        </w:numPr>
        <w:jc w:val="both"/>
        <w:rPr>
          <w:rFonts w:asciiTheme="minorHAnsi" w:hAnsiTheme="minorHAnsi" w:eastAsiaTheme="minorHAnsi" w:cstheme="minorBidi"/>
          <w:b/>
          <w:bCs/>
          <w:color w:val="538135" w:themeColor="accent6" w:themeShade="BF"/>
        </w:rPr>
      </w:pPr>
      <w:r>
        <w:rPr>
          <w:rFonts w:asciiTheme="minorHAnsi" w:hAnsiTheme="minorHAnsi" w:eastAsiaTheme="minorHAnsi" w:cstheme="minorBidi"/>
          <w:b/>
          <w:bCs/>
          <w:color w:val="538135" w:themeColor="accent6" w:themeShade="BF"/>
        </w:rPr>
        <w:t xml:space="preserve">Through collaboration with </w:t>
      </w:r>
      <w:r w:rsidR="008A3991">
        <w:rPr>
          <w:rFonts w:asciiTheme="minorHAnsi" w:hAnsiTheme="minorHAnsi" w:eastAsiaTheme="minorHAnsi" w:cstheme="minorBidi"/>
          <w:b/>
          <w:bCs/>
          <w:color w:val="538135" w:themeColor="accent6" w:themeShade="BF"/>
        </w:rPr>
        <w:t>E</w:t>
      </w:r>
      <w:r>
        <w:rPr>
          <w:rFonts w:asciiTheme="minorHAnsi" w:hAnsiTheme="minorHAnsi" w:eastAsiaTheme="minorHAnsi" w:cstheme="minorBidi"/>
          <w:b/>
          <w:bCs/>
          <w:color w:val="538135" w:themeColor="accent6" w:themeShade="BF"/>
        </w:rPr>
        <w:t xml:space="preserve">states </w:t>
      </w:r>
      <w:r w:rsidR="0080092C">
        <w:rPr>
          <w:rFonts w:asciiTheme="minorHAnsi" w:hAnsiTheme="minorHAnsi" w:eastAsiaTheme="minorHAnsi" w:cstheme="minorBidi"/>
          <w:b/>
          <w:bCs/>
          <w:color w:val="538135" w:themeColor="accent6" w:themeShade="BF"/>
        </w:rPr>
        <w:t>improve the</w:t>
      </w:r>
      <w:r w:rsidR="00EE1DB7">
        <w:rPr>
          <w:rFonts w:asciiTheme="minorHAnsi" w:hAnsiTheme="minorHAnsi" w:eastAsiaTheme="minorHAnsi" w:cstheme="minorBidi"/>
          <w:b/>
          <w:bCs/>
          <w:color w:val="538135" w:themeColor="accent6" w:themeShade="BF"/>
        </w:rPr>
        <w:t xml:space="preserve"> </w:t>
      </w:r>
      <w:r w:rsidR="006602AE">
        <w:rPr>
          <w:rFonts w:asciiTheme="minorHAnsi" w:hAnsiTheme="minorHAnsi" w:eastAsiaTheme="minorHAnsi" w:cstheme="minorBidi"/>
          <w:b/>
          <w:bCs/>
          <w:color w:val="538135" w:themeColor="accent6" w:themeShade="BF"/>
        </w:rPr>
        <w:t>baseline metric</w:t>
      </w:r>
      <w:r w:rsidR="00EE1DB7">
        <w:rPr>
          <w:rFonts w:asciiTheme="minorHAnsi" w:hAnsiTheme="minorHAnsi" w:eastAsiaTheme="minorHAnsi" w:cstheme="minorBidi"/>
          <w:b/>
          <w:bCs/>
          <w:color w:val="538135" w:themeColor="accent6" w:themeShade="BF"/>
        </w:rPr>
        <w:t xml:space="preserve"> for water use</w:t>
      </w:r>
      <w:r w:rsidR="006602AE">
        <w:rPr>
          <w:rFonts w:asciiTheme="minorHAnsi" w:hAnsiTheme="minorHAnsi" w:eastAsiaTheme="minorHAnsi" w:cstheme="minorBidi"/>
          <w:b/>
          <w:bCs/>
          <w:color w:val="538135" w:themeColor="accent6" w:themeShade="BF"/>
        </w:rPr>
        <w:t xml:space="preserve"> to </w:t>
      </w:r>
      <w:r w:rsidR="00BD6048">
        <w:rPr>
          <w:rFonts w:asciiTheme="minorHAnsi" w:hAnsiTheme="minorHAnsi" w:eastAsiaTheme="minorHAnsi" w:cstheme="minorBidi"/>
          <w:b/>
          <w:bCs/>
          <w:color w:val="538135" w:themeColor="accent6" w:themeShade="BF"/>
        </w:rPr>
        <w:t>give more</w:t>
      </w:r>
      <w:r w:rsidR="006602AE">
        <w:rPr>
          <w:rFonts w:asciiTheme="minorHAnsi" w:hAnsiTheme="minorHAnsi" w:eastAsiaTheme="minorHAnsi" w:cstheme="minorBidi"/>
          <w:b/>
          <w:bCs/>
          <w:color w:val="538135" w:themeColor="accent6" w:themeShade="BF"/>
        </w:rPr>
        <w:t xml:space="preserve"> accurate</w:t>
      </w:r>
      <w:r w:rsidR="00BD6048">
        <w:rPr>
          <w:rFonts w:asciiTheme="minorHAnsi" w:hAnsiTheme="minorHAnsi" w:eastAsiaTheme="minorHAnsi" w:cstheme="minorBidi"/>
          <w:b/>
          <w:bCs/>
          <w:color w:val="538135" w:themeColor="accent6" w:themeShade="BF"/>
        </w:rPr>
        <w:t xml:space="preserve"> data.</w:t>
      </w:r>
      <w:r w:rsidR="006602AE">
        <w:rPr>
          <w:rFonts w:asciiTheme="minorHAnsi" w:hAnsiTheme="minorHAnsi" w:eastAsiaTheme="minorHAnsi" w:cstheme="minorBidi"/>
          <w:b/>
          <w:bCs/>
          <w:color w:val="538135" w:themeColor="accent6" w:themeShade="BF"/>
        </w:rPr>
        <w:t xml:space="preserve"> With </w:t>
      </w:r>
      <w:r w:rsidR="004A664E">
        <w:rPr>
          <w:rFonts w:asciiTheme="minorHAnsi" w:hAnsiTheme="minorHAnsi" w:eastAsiaTheme="minorHAnsi" w:cstheme="minorBidi"/>
          <w:b/>
          <w:bCs/>
          <w:color w:val="538135" w:themeColor="accent6" w:themeShade="BF"/>
        </w:rPr>
        <w:t>more robust data</w:t>
      </w:r>
      <w:r w:rsidR="006602AE">
        <w:rPr>
          <w:rFonts w:asciiTheme="minorHAnsi" w:hAnsiTheme="minorHAnsi" w:eastAsiaTheme="minorHAnsi" w:cstheme="minorBidi"/>
          <w:b/>
          <w:bCs/>
          <w:color w:val="538135" w:themeColor="accent6" w:themeShade="BF"/>
        </w:rPr>
        <w:t xml:space="preserve"> and</w:t>
      </w:r>
      <w:r w:rsidR="000514A1">
        <w:rPr>
          <w:rFonts w:asciiTheme="minorHAnsi" w:hAnsiTheme="minorHAnsi" w:eastAsiaTheme="minorHAnsi" w:cstheme="minorBidi"/>
          <w:b/>
          <w:bCs/>
          <w:color w:val="538135" w:themeColor="accent6" w:themeShade="BF"/>
        </w:rPr>
        <w:t xml:space="preserve"> regular</w:t>
      </w:r>
      <w:r w:rsidR="006602AE">
        <w:rPr>
          <w:rFonts w:asciiTheme="minorHAnsi" w:hAnsiTheme="minorHAnsi" w:eastAsiaTheme="minorHAnsi" w:cstheme="minorBidi"/>
          <w:b/>
          <w:bCs/>
          <w:color w:val="538135" w:themeColor="accent6" w:themeShade="BF"/>
        </w:rPr>
        <w:t xml:space="preserve"> monthly data collection</w:t>
      </w:r>
      <w:r w:rsidR="000514A1">
        <w:rPr>
          <w:rFonts w:asciiTheme="minorHAnsi" w:hAnsiTheme="minorHAnsi" w:eastAsiaTheme="minorHAnsi" w:cstheme="minorBidi"/>
          <w:b/>
          <w:bCs/>
          <w:color w:val="538135" w:themeColor="accent6" w:themeShade="BF"/>
        </w:rPr>
        <w:t>,</w:t>
      </w:r>
      <w:r w:rsidR="00400A6E">
        <w:rPr>
          <w:rFonts w:asciiTheme="minorHAnsi" w:hAnsiTheme="minorHAnsi" w:eastAsiaTheme="minorHAnsi" w:cstheme="minorBidi"/>
          <w:b/>
          <w:bCs/>
          <w:color w:val="538135" w:themeColor="accent6" w:themeShade="BF"/>
        </w:rPr>
        <w:t xml:space="preserve"> the impact of changes can be tracked and calculated.</w:t>
      </w:r>
    </w:p>
    <w:p w:rsidRPr="00713B6F" w:rsidR="004808C7" w:rsidP="004808C7" w:rsidRDefault="004808C7" w14:paraId="4E02A69F" w14:textId="07297AF2">
      <w:pPr>
        <w:pStyle w:val="ListParagraph"/>
        <w:numPr>
          <w:ilvl w:val="0"/>
          <w:numId w:val="10"/>
        </w:numPr>
        <w:jc w:val="both"/>
        <w:rPr>
          <w:rFonts w:asciiTheme="minorHAnsi" w:hAnsiTheme="minorHAnsi" w:eastAsiaTheme="minorHAnsi" w:cstheme="minorBidi"/>
          <w:b/>
          <w:bCs/>
          <w:color w:val="538135" w:themeColor="accent6" w:themeShade="BF"/>
        </w:rPr>
      </w:pPr>
      <w:r w:rsidRPr="00713B6F">
        <w:rPr>
          <w:rFonts w:asciiTheme="minorHAnsi" w:hAnsiTheme="minorHAnsi" w:eastAsiaTheme="minorHAnsi" w:cstheme="minorBidi"/>
          <w:b/>
          <w:bCs/>
          <w:color w:val="538135" w:themeColor="accent6" w:themeShade="BF"/>
        </w:rPr>
        <w:t>Review opportunity to reduce flow through dialysis machines to reduce water usage</w:t>
      </w:r>
      <w:r w:rsidR="00400A6E">
        <w:rPr>
          <w:rFonts w:asciiTheme="minorHAnsi" w:hAnsiTheme="minorHAnsi" w:eastAsiaTheme="minorHAnsi" w:cstheme="minorBidi"/>
          <w:b/>
          <w:bCs/>
          <w:color w:val="538135" w:themeColor="accent6" w:themeShade="BF"/>
        </w:rPr>
        <w:t>. This will require collaboration with the clinical teams providing renal care.</w:t>
      </w:r>
    </w:p>
    <w:p w:rsidRPr="00796467" w:rsidR="007800BF" w:rsidP="00796467" w:rsidRDefault="007800BF" w14:paraId="2177D895" w14:textId="77777777">
      <w:pPr>
        <w:rPr>
          <w:b/>
          <w:bCs/>
          <w:sz w:val="24"/>
          <w:szCs w:val="24"/>
        </w:rPr>
      </w:pPr>
    </w:p>
    <w:p w:rsidRPr="001530C3" w:rsidR="001530C3" w:rsidP="000B2E1D" w:rsidRDefault="000D7D4B" w14:paraId="00089442" w14:textId="77777777">
      <w:pPr>
        <w:pStyle w:val="ListParagraph"/>
        <w:numPr>
          <w:ilvl w:val="0"/>
          <w:numId w:val="33"/>
        </w:numPr>
        <w:rPr>
          <w:rFonts w:asciiTheme="minorHAnsi" w:hAnsiTheme="minorHAnsi" w:eastAsiaTheme="minorHAnsi" w:cstheme="minorHAnsi"/>
          <w:bCs/>
        </w:rPr>
      </w:pPr>
      <w:r w:rsidRPr="001530C3">
        <w:rPr>
          <w:b/>
          <w:bCs/>
          <w:color w:val="538135" w:themeColor="accent6" w:themeShade="BF"/>
          <w:sz w:val="24"/>
          <w:szCs w:val="24"/>
        </w:rPr>
        <w:t>Comparison with Newcastle</w:t>
      </w:r>
      <w:r w:rsidRPr="001530C3" w:rsidR="001E04E8">
        <w:rPr>
          <w:b/>
          <w:bCs/>
          <w:color w:val="538135" w:themeColor="accent6" w:themeShade="BF"/>
          <w:sz w:val="24"/>
          <w:szCs w:val="24"/>
        </w:rPr>
        <w:t xml:space="preserve"> upon-Tyne Hospital</w:t>
      </w:r>
      <w:r w:rsidR="001530C3">
        <w:rPr>
          <w:b/>
          <w:bCs/>
          <w:color w:val="538135" w:themeColor="accent6" w:themeShade="BF"/>
          <w:sz w:val="24"/>
          <w:szCs w:val="24"/>
        </w:rPr>
        <w:t xml:space="preserve"> NHS Foundation Trust</w:t>
      </w:r>
    </w:p>
    <w:p w:rsidR="00185D5A" w:rsidP="00185D5A" w:rsidRDefault="00185D5A" w14:paraId="412ACB64" w14:textId="77777777">
      <w:pPr>
        <w:pStyle w:val="ListParagraph"/>
        <w:ind w:left="375"/>
        <w:rPr>
          <w:b/>
          <w:bCs/>
          <w:color w:val="538135" w:themeColor="accent6" w:themeShade="BF"/>
          <w:sz w:val="24"/>
          <w:szCs w:val="24"/>
        </w:rPr>
      </w:pPr>
    </w:p>
    <w:p w:rsidR="00B0555D" w:rsidP="00C22EF3" w:rsidRDefault="00084D40" w14:paraId="5E098DD5" w14:textId="1A476CEF">
      <w:pPr>
        <w:pStyle w:val="ListParagraph"/>
        <w:ind w:left="375"/>
        <w:jc w:val="both"/>
        <w:rPr>
          <w:rFonts w:asciiTheme="minorHAnsi" w:hAnsiTheme="minorHAnsi" w:eastAsiaTheme="minorHAnsi" w:cstheme="minorHAnsi"/>
          <w:bCs/>
        </w:rPr>
      </w:pPr>
      <w:r w:rsidRPr="001530C3">
        <w:rPr>
          <w:rFonts w:asciiTheme="minorHAnsi" w:hAnsiTheme="minorHAnsi" w:eastAsiaTheme="minorHAnsi" w:cstheme="minorHAnsi"/>
          <w:bCs/>
        </w:rPr>
        <w:t xml:space="preserve">The table below shows a comparison with Newcastle upon Tyne who undertook the </w:t>
      </w:r>
      <w:r w:rsidRPr="001530C3" w:rsidR="00D73BBB">
        <w:rPr>
          <w:rFonts w:asciiTheme="minorHAnsi" w:hAnsiTheme="minorHAnsi" w:eastAsiaTheme="minorHAnsi" w:cstheme="minorHAnsi"/>
          <w:bCs/>
        </w:rPr>
        <w:t>calculation in 2019, prior to the Covid pandemic.</w:t>
      </w:r>
      <w:r w:rsidRPr="001530C3" w:rsidR="00751209">
        <w:rPr>
          <w:rFonts w:asciiTheme="minorHAnsi" w:hAnsiTheme="minorHAnsi" w:eastAsiaTheme="minorHAnsi" w:cstheme="minorHAnsi"/>
          <w:bCs/>
        </w:rPr>
        <w:t xml:space="preserve"> STH is performing well showing lower emissions per </w:t>
      </w:r>
      <w:r w:rsidRPr="001530C3" w:rsidR="00EA14BF">
        <w:rPr>
          <w:rFonts w:asciiTheme="minorHAnsi" w:hAnsiTheme="minorHAnsi" w:eastAsiaTheme="minorHAnsi" w:cstheme="minorHAnsi"/>
          <w:bCs/>
        </w:rPr>
        <w:t xml:space="preserve">patient, however it must be remembered that many of the </w:t>
      </w:r>
      <w:r w:rsidRPr="001530C3" w:rsidR="003E367A">
        <w:rPr>
          <w:rFonts w:asciiTheme="minorHAnsi" w:hAnsiTheme="minorHAnsi" w:eastAsiaTheme="minorHAnsi" w:cstheme="minorHAnsi"/>
          <w:bCs/>
        </w:rPr>
        <w:t>pharmaceutical</w:t>
      </w:r>
      <w:r w:rsidRPr="001530C3" w:rsidR="00EA14BF">
        <w:rPr>
          <w:rFonts w:asciiTheme="minorHAnsi" w:hAnsiTheme="minorHAnsi" w:eastAsiaTheme="minorHAnsi" w:cstheme="minorHAnsi"/>
          <w:bCs/>
        </w:rPr>
        <w:t xml:space="preserve"> used at STH were not included in the </w:t>
      </w:r>
      <w:r w:rsidRPr="001530C3" w:rsidR="003E367A">
        <w:rPr>
          <w:rFonts w:asciiTheme="minorHAnsi" w:hAnsiTheme="minorHAnsi" w:eastAsiaTheme="minorHAnsi" w:cstheme="minorHAnsi"/>
          <w:bCs/>
        </w:rPr>
        <w:t xml:space="preserve">calculation, when the metrics are improved there will be an increase </w:t>
      </w:r>
      <w:r w:rsidRPr="001530C3" w:rsidR="00600508">
        <w:rPr>
          <w:rFonts w:asciiTheme="minorHAnsi" w:hAnsiTheme="minorHAnsi" w:eastAsiaTheme="minorHAnsi" w:cstheme="minorHAnsi"/>
          <w:bCs/>
        </w:rPr>
        <w:t>in the</w:t>
      </w:r>
      <w:r w:rsidRPr="001530C3" w:rsidR="000A2EDD">
        <w:rPr>
          <w:rFonts w:asciiTheme="minorHAnsi" w:hAnsiTheme="minorHAnsi" w:eastAsiaTheme="minorHAnsi" w:cstheme="minorHAnsi"/>
          <w:bCs/>
        </w:rPr>
        <w:t xml:space="preserve"> carbon </w:t>
      </w:r>
      <w:r w:rsidRPr="001530C3" w:rsidR="00600508">
        <w:rPr>
          <w:rFonts w:asciiTheme="minorHAnsi" w:hAnsiTheme="minorHAnsi" w:eastAsiaTheme="minorHAnsi" w:cstheme="minorHAnsi"/>
          <w:bCs/>
        </w:rPr>
        <w:t>emissions</w:t>
      </w:r>
      <w:r w:rsidRPr="001530C3" w:rsidR="003E367A">
        <w:rPr>
          <w:rFonts w:asciiTheme="minorHAnsi" w:hAnsiTheme="minorHAnsi" w:eastAsiaTheme="minorHAnsi" w:cstheme="minorHAnsi"/>
          <w:bCs/>
        </w:rPr>
        <w:t>.</w:t>
      </w:r>
      <w:r w:rsidRPr="001530C3" w:rsidR="00BA15A7">
        <w:rPr>
          <w:rFonts w:asciiTheme="minorHAnsi" w:hAnsiTheme="minorHAnsi" w:eastAsiaTheme="minorHAnsi" w:cstheme="minorHAnsi"/>
          <w:bCs/>
        </w:rPr>
        <w:t xml:space="preserve"> It is reassuring to see that the percentage split between the activities included in the calculation</w:t>
      </w:r>
      <w:r w:rsidRPr="001530C3" w:rsidR="003A3E5B">
        <w:rPr>
          <w:rFonts w:asciiTheme="minorHAnsi" w:hAnsiTheme="minorHAnsi" w:eastAsiaTheme="minorHAnsi" w:cstheme="minorHAnsi"/>
          <w:bCs/>
        </w:rPr>
        <w:t xml:space="preserve"> are similar. For STH one of the hotspots is staff </w:t>
      </w:r>
      <w:r w:rsidRPr="001530C3" w:rsidR="00600508">
        <w:rPr>
          <w:rFonts w:asciiTheme="minorHAnsi" w:hAnsiTheme="minorHAnsi" w:eastAsiaTheme="minorHAnsi" w:cstheme="minorHAnsi"/>
          <w:bCs/>
        </w:rPr>
        <w:t>and patient</w:t>
      </w:r>
      <w:r w:rsidRPr="001530C3" w:rsidR="003A3E5B">
        <w:rPr>
          <w:rFonts w:asciiTheme="minorHAnsi" w:hAnsiTheme="minorHAnsi" w:eastAsiaTheme="minorHAnsi" w:cstheme="minorHAnsi"/>
          <w:bCs/>
        </w:rPr>
        <w:t xml:space="preserve"> travel, contributing to 40%</w:t>
      </w:r>
      <w:r w:rsidRPr="001530C3" w:rsidR="00E01C2E">
        <w:rPr>
          <w:rFonts w:asciiTheme="minorHAnsi" w:hAnsiTheme="minorHAnsi" w:eastAsiaTheme="minorHAnsi" w:cstheme="minorHAnsi"/>
          <w:bCs/>
        </w:rPr>
        <w:t xml:space="preserve"> of the total.</w:t>
      </w:r>
    </w:p>
    <w:p w:rsidR="00BD6711" w:rsidP="00185D5A" w:rsidRDefault="00BD6711" w14:paraId="6E54F30B" w14:textId="77777777">
      <w:pPr>
        <w:pStyle w:val="ListParagraph"/>
        <w:ind w:left="375"/>
        <w:rPr>
          <w:rFonts w:asciiTheme="minorHAnsi" w:hAnsiTheme="minorHAnsi" w:eastAsiaTheme="minorHAnsi" w:cstheme="minorHAnsi"/>
          <w:bCs/>
        </w:rPr>
      </w:pPr>
    </w:p>
    <w:p w:rsidRPr="001530C3" w:rsidR="00BD6711" w:rsidP="00C22EF3" w:rsidRDefault="00BD6711" w14:paraId="3CDA80AD" w14:textId="0AA1332E">
      <w:pPr>
        <w:pStyle w:val="ListParagraph"/>
        <w:ind w:left="375"/>
        <w:jc w:val="both"/>
        <w:rPr>
          <w:rFonts w:asciiTheme="minorHAnsi" w:hAnsiTheme="minorHAnsi" w:eastAsiaTheme="minorHAnsi" w:cstheme="minorHAnsi"/>
          <w:bCs/>
        </w:rPr>
      </w:pPr>
      <w:r>
        <w:rPr>
          <w:rFonts w:asciiTheme="minorHAnsi" w:hAnsiTheme="minorHAnsi" w:eastAsiaTheme="minorHAnsi" w:cstheme="minorHAnsi"/>
          <w:bCs/>
        </w:rPr>
        <w:t xml:space="preserve">Attention needs to be drawn to the fact that the </w:t>
      </w:r>
      <w:r w:rsidR="00157511">
        <w:rPr>
          <w:rFonts w:asciiTheme="minorHAnsi" w:hAnsiTheme="minorHAnsi" w:eastAsiaTheme="minorHAnsi" w:cstheme="minorHAnsi"/>
          <w:bCs/>
        </w:rPr>
        <w:t>Newcastle evaluation was undertaken 4 years earlier than STH</w:t>
      </w:r>
      <w:r w:rsidR="000F02F1">
        <w:rPr>
          <w:rFonts w:asciiTheme="minorHAnsi" w:hAnsiTheme="minorHAnsi" w:eastAsiaTheme="minorHAnsi" w:cstheme="minorHAnsi"/>
          <w:bCs/>
        </w:rPr>
        <w:t xml:space="preserve"> and prior to the Covid Pandemic, </w:t>
      </w:r>
      <w:r w:rsidR="00161916">
        <w:rPr>
          <w:rFonts w:asciiTheme="minorHAnsi" w:hAnsiTheme="minorHAnsi" w:eastAsiaTheme="minorHAnsi" w:cstheme="minorHAnsi"/>
          <w:bCs/>
        </w:rPr>
        <w:t>there will have been changes in practice during this time and the impact of this is currently unknown.</w:t>
      </w:r>
    </w:p>
    <w:tbl>
      <w:tblPr>
        <w:tblStyle w:val="TableGrid"/>
        <w:tblW w:w="0" w:type="auto"/>
        <w:tblInd w:w="360" w:type="dxa"/>
        <w:tblLook w:val="04A0" w:firstRow="1" w:lastRow="0" w:firstColumn="1" w:lastColumn="0" w:noHBand="0" w:noVBand="1"/>
      </w:tblPr>
      <w:tblGrid>
        <w:gridCol w:w="5359"/>
        <w:gridCol w:w="2376"/>
        <w:gridCol w:w="2101"/>
      </w:tblGrid>
      <w:tr w:rsidR="00B0555D" w:rsidTr="00694ADC" w14:paraId="11A1063D" w14:textId="77777777">
        <w:tc>
          <w:tcPr>
            <w:tcW w:w="5447" w:type="dxa"/>
            <w:shd w:val="clear" w:color="auto" w:fill="002060"/>
          </w:tcPr>
          <w:p w:rsidRPr="00694ADC" w:rsidR="00B0555D" w:rsidRDefault="00B0555D" w14:paraId="2F931D17" w14:textId="77777777">
            <w:pPr>
              <w:jc w:val="center"/>
              <w:rPr>
                <w:b/>
                <w:bCs/>
                <w:color w:val="FFFFFF" w:themeColor="background1"/>
                <w:sz w:val="24"/>
                <w:szCs w:val="24"/>
              </w:rPr>
            </w:pPr>
            <w:r w:rsidRPr="00694ADC">
              <w:rPr>
                <w:b/>
                <w:bCs/>
                <w:color w:val="FFFFFF" w:themeColor="background1"/>
                <w:sz w:val="24"/>
                <w:szCs w:val="24"/>
              </w:rPr>
              <w:t>Metric</w:t>
            </w:r>
          </w:p>
        </w:tc>
        <w:tc>
          <w:tcPr>
            <w:tcW w:w="2410" w:type="dxa"/>
            <w:shd w:val="clear" w:color="auto" w:fill="002060"/>
          </w:tcPr>
          <w:p w:rsidRPr="00694ADC" w:rsidR="00B0555D" w:rsidRDefault="00B0555D" w14:paraId="39CFC6BC" w14:textId="77777777">
            <w:pPr>
              <w:jc w:val="center"/>
              <w:rPr>
                <w:b/>
                <w:bCs/>
                <w:color w:val="FFFFFF" w:themeColor="background1"/>
                <w:sz w:val="24"/>
                <w:szCs w:val="24"/>
              </w:rPr>
            </w:pPr>
            <w:r w:rsidRPr="00694ADC">
              <w:rPr>
                <w:b/>
                <w:bCs/>
                <w:color w:val="FFFFFF" w:themeColor="background1"/>
                <w:sz w:val="24"/>
                <w:szCs w:val="24"/>
              </w:rPr>
              <w:t>STH 2023</w:t>
            </w:r>
          </w:p>
        </w:tc>
        <w:tc>
          <w:tcPr>
            <w:tcW w:w="2121" w:type="dxa"/>
            <w:shd w:val="clear" w:color="auto" w:fill="002060"/>
          </w:tcPr>
          <w:p w:rsidRPr="00694ADC" w:rsidR="00B0555D" w:rsidRDefault="00B0555D" w14:paraId="7307E9CB" w14:textId="77777777">
            <w:pPr>
              <w:jc w:val="center"/>
              <w:rPr>
                <w:b/>
                <w:bCs/>
                <w:color w:val="FFFFFF" w:themeColor="background1"/>
                <w:sz w:val="24"/>
                <w:szCs w:val="24"/>
              </w:rPr>
            </w:pPr>
            <w:r w:rsidRPr="00694ADC">
              <w:rPr>
                <w:b/>
                <w:bCs/>
                <w:color w:val="FFFFFF" w:themeColor="background1"/>
                <w:sz w:val="24"/>
                <w:szCs w:val="24"/>
              </w:rPr>
              <w:t>Newcastle 2019</w:t>
            </w:r>
          </w:p>
        </w:tc>
      </w:tr>
      <w:tr w:rsidR="00B0555D" w14:paraId="7EAC9C51" w14:textId="77777777">
        <w:tc>
          <w:tcPr>
            <w:tcW w:w="5447" w:type="dxa"/>
          </w:tcPr>
          <w:p w:rsidRPr="00CC31F9" w:rsidR="00B0555D" w:rsidRDefault="00B0555D" w14:paraId="6978FE71" w14:textId="77777777">
            <w:r w:rsidRPr="00CC31F9">
              <w:t>Total emissions KgCO</w:t>
            </w:r>
            <w:r w:rsidRPr="00CC31F9">
              <w:rPr>
                <w:vertAlign w:val="subscript"/>
              </w:rPr>
              <w:t>2</w:t>
            </w:r>
            <w:r w:rsidRPr="00CC31F9">
              <w:t>e</w:t>
            </w:r>
          </w:p>
        </w:tc>
        <w:tc>
          <w:tcPr>
            <w:tcW w:w="2410" w:type="dxa"/>
          </w:tcPr>
          <w:p w:rsidRPr="00CC31F9" w:rsidR="00B0555D" w:rsidRDefault="00B0555D" w14:paraId="61C61C4D" w14:textId="77777777">
            <w:pPr>
              <w:jc w:val="center"/>
              <w:rPr>
                <w:b/>
                <w:bCs/>
              </w:rPr>
            </w:pPr>
            <w:r>
              <w:rPr>
                <w:b/>
                <w:bCs/>
              </w:rPr>
              <w:t>827,947</w:t>
            </w:r>
          </w:p>
        </w:tc>
        <w:tc>
          <w:tcPr>
            <w:tcW w:w="2121" w:type="dxa"/>
          </w:tcPr>
          <w:p w:rsidRPr="00CC31F9" w:rsidR="00B0555D" w:rsidRDefault="00B0555D" w14:paraId="08389B5B" w14:textId="77777777">
            <w:pPr>
              <w:jc w:val="center"/>
              <w:rPr>
                <w:b/>
                <w:bCs/>
              </w:rPr>
            </w:pPr>
            <w:r w:rsidRPr="00CC31F9">
              <w:rPr>
                <w:b/>
                <w:bCs/>
              </w:rPr>
              <w:t>833,132</w:t>
            </w:r>
          </w:p>
        </w:tc>
      </w:tr>
      <w:tr w:rsidR="00B0555D" w14:paraId="0E808234" w14:textId="77777777">
        <w:tc>
          <w:tcPr>
            <w:tcW w:w="5447" w:type="dxa"/>
          </w:tcPr>
          <w:p w:rsidRPr="00CC31F9" w:rsidR="00B0555D" w:rsidRDefault="00B0555D" w14:paraId="3EF5BA59" w14:textId="77777777">
            <w:r w:rsidRPr="00CC31F9">
              <w:t>Number of sessions</w:t>
            </w:r>
          </w:p>
        </w:tc>
        <w:tc>
          <w:tcPr>
            <w:tcW w:w="2410" w:type="dxa"/>
          </w:tcPr>
          <w:p w:rsidRPr="00CC31F9" w:rsidR="00B0555D" w:rsidRDefault="00B0555D" w14:paraId="73FAC9F6" w14:textId="77777777">
            <w:pPr>
              <w:jc w:val="center"/>
              <w:rPr>
                <w:b/>
                <w:bCs/>
              </w:rPr>
            </w:pPr>
            <w:r w:rsidRPr="00CC31F9">
              <w:rPr>
                <w:b/>
                <w:bCs/>
              </w:rPr>
              <w:t>48,204</w:t>
            </w:r>
          </w:p>
        </w:tc>
        <w:tc>
          <w:tcPr>
            <w:tcW w:w="2121" w:type="dxa"/>
          </w:tcPr>
          <w:p w:rsidRPr="00CC31F9" w:rsidR="00B0555D" w:rsidRDefault="00B0555D" w14:paraId="7722D634" w14:textId="77777777">
            <w:pPr>
              <w:jc w:val="center"/>
              <w:rPr>
                <w:b/>
                <w:bCs/>
              </w:rPr>
            </w:pPr>
            <w:r w:rsidRPr="00CC31F9">
              <w:rPr>
                <w:b/>
                <w:bCs/>
              </w:rPr>
              <w:t>38,425</w:t>
            </w:r>
          </w:p>
        </w:tc>
      </w:tr>
      <w:tr w:rsidR="00B0555D" w14:paraId="3EF18D4A" w14:textId="77777777">
        <w:tc>
          <w:tcPr>
            <w:tcW w:w="5447" w:type="dxa"/>
          </w:tcPr>
          <w:p w:rsidRPr="00CC31F9" w:rsidR="00B0555D" w:rsidRDefault="00B0555D" w14:paraId="730FBB5C" w14:textId="77777777">
            <w:r w:rsidRPr="00CC31F9">
              <w:t>Emissions per patient KgCO</w:t>
            </w:r>
            <w:r w:rsidRPr="00CC31F9">
              <w:rPr>
                <w:vertAlign w:val="subscript"/>
              </w:rPr>
              <w:t>2</w:t>
            </w:r>
            <w:r w:rsidRPr="00CC31F9">
              <w:t>e</w:t>
            </w:r>
          </w:p>
        </w:tc>
        <w:tc>
          <w:tcPr>
            <w:tcW w:w="2410" w:type="dxa"/>
          </w:tcPr>
          <w:p w:rsidRPr="00CC31F9" w:rsidR="00B0555D" w:rsidRDefault="00B0555D" w14:paraId="3D93BAA6" w14:textId="77777777">
            <w:pPr>
              <w:jc w:val="center"/>
              <w:rPr>
                <w:b/>
                <w:bCs/>
              </w:rPr>
            </w:pPr>
            <w:r w:rsidRPr="00CC31F9">
              <w:rPr>
                <w:b/>
                <w:bCs/>
              </w:rPr>
              <w:t>1</w:t>
            </w:r>
            <w:r>
              <w:rPr>
                <w:b/>
                <w:bCs/>
              </w:rPr>
              <w:t>7</w:t>
            </w:r>
          </w:p>
        </w:tc>
        <w:tc>
          <w:tcPr>
            <w:tcW w:w="2121" w:type="dxa"/>
          </w:tcPr>
          <w:p w:rsidRPr="00CC31F9" w:rsidR="00B0555D" w:rsidRDefault="00B0555D" w14:paraId="676C4074" w14:textId="77777777">
            <w:pPr>
              <w:jc w:val="center"/>
              <w:rPr>
                <w:b/>
                <w:bCs/>
              </w:rPr>
            </w:pPr>
            <w:r w:rsidRPr="00CC31F9">
              <w:rPr>
                <w:b/>
                <w:bCs/>
              </w:rPr>
              <w:t>21.7</w:t>
            </w:r>
          </w:p>
        </w:tc>
      </w:tr>
      <w:tr w:rsidR="00B0555D" w14:paraId="2C5ED9EE" w14:textId="77777777">
        <w:tc>
          <w:tcPr>
            <w:tcW w:w="5447" w:type="dxa"/>
          </w:tcPr>
          <w:p w:rsidRPr="00CC31F9" w:rsidR="00B0555D" w:rsidRDefault="00B0555D" w14:paraId="53C61FFB" w14:textId="77777777">
            <w:r w:rsidRPr="00CC31F9">
              <w:t>Utilities%</w:t>
            </w:r>
          </w:p>
        </w:tc>
        <w:tc>
          <w:tcPr>
            <w:tcW w:w="2410" w:type="dxa"/>
          </w:tcPr>
          <w:p w:rsidRPr="00CC31F9" w:rsidR="00B0555D" w:rsidRDefault="00B0555D" w14:paraId="72C5C0B0" w14:textId="77777777">
            <w:pPr>
              <w:jc w:val="center"/>
              <w:rPr>
                <w:b/>
                <w:bCs/>
              </w:rPr>
            </w:pPr>
            <w:r w:rsidRPr="00CC31F9">
              <w:rPr>
                <w:b/>
                <w:bCs/>
              </w:rPr>
              <w:t>2</w:t>
            </w:r>
            <w:r>
              <w:rPr>
                <w:b/>
                <w:bCs/>
              </w:rPr>
              <w:t>5</w:t>
            </w:r>
            <w:r w:rsidRPr="00CC31F9">
              <w:rPr>
                <w:b/>
                <w:bCs/>
              </w:rPr>
              <w:t>%</w:t>
            </w:r>
          </w:p>
        </w:tc>
        <w:tc>
          <w:tcPr>
            <w:tcW w:w="2121" w:type="dxa"/>
          </w:tcPr>
          <w:p w:rsidRPr="00CC31F9" w:rsidR="00B0555D" w:rsidRDefault="00B0555D" w14:paraId="277E1E58" w14:textId="77777777">
            <w:pPr>
              <w:jc w:val="center"/>
              <w:rPr>
                <w:b/>
                <w:bCs/>
              </w:rPr>
            </w:pPr>
            <w:r w:rsidRPr="00CC31F9">
              <w:rPr>
                <w:b/>
                <w:bCs/>
              </w:rPr>
              <w:t>32%</w:t>
            </w:r>
          </w:p>
        </w:tc>
      </w:tr>
      <w:tr w:rsidR="00B0555D" w14:paraId="463CB7F2" w14:textId="77777777">
        <w:tc>
          <w:tcPr>
            <w:tcW w:w="5447" w:type="dxa"/>
          </w:tcPr>
          <w:p w:rsidRPr="00CC31F9" w:rsidR="00B0555D" w:rsidRDefault="00B0555D" w14:paraId="4DDB4FA2" w14:textId="77777777">
            <w:r w:rsidRPr="00CC31F9">
              <w:t>Travel- patient and staff %</w:t>
            </w:r>
          </w:p>
        </w:tc>
        <w:tc>
          <w:tcPr>
            <w:tcW w:w="2410" w:type="dxa"/>
          </w:tcPr>
          <w:p w:rsidRPr="00CC31F9" w:rsidR="00B0555D" w:rsidRDefault="00B0555D" w14:paraId="718AE153" w14:textId="77777777">
            <w:pPr>
              <w:jc w:val="center"/>
              <w:rPr>
                <w:b/>
                <w:bCs/>
              </w:rPr>
            </w:pPr>
            <w:r>
              <w:rPr>
                <w:b/>
                <w:bCs/>
              </w:rPr>
              <w:t>40</w:t>
            </w:r>
            <w:r w:rsidRPr="00CC31F9">
              <w:rPr>
                <w:b/>
                <w:bCs/>
              </w:rPr>
              <w:t>%</w:t>
            </w:r>
          </w:p>
        </w:tc>
        <w:tc>
          <w:tcPr>
            <w:tcW w:w="2121" w:type="dxa"/>
          </w:tcPr>
          <w:p w:rsidRPr="00CC31F9" w:rsidR="00B0555D" w:rsidRDefault="00B0555D" w14:paraId="77F3276F" w14:textId="77777777">
            <w:pPr>
              <w:jc w:val="center"/>
              <w:rPr>
                <w:b/>
                <w:bCs/>
              </w:rPr>
            </w:pPr>
            <w:r w:rsidRPr="00CC31F9">
              <w:rPr>
                <w:b/>
                <w:bCs/>
              </w:rPr>
              <w:t>32%</w:t>
            </w:r>
          </w:p>
        </w:tc>
      </w:tr>
      <w:tr w:rsidR="00B0555D" w14:paraId="196370D9" w14:textId="77777777">
        <w:tc>
          <w:tcPr>
            <w:tcW w:w="5447" w:type="dxa"/>
          </w:tcPr>
          <w:p w:rsidRPr="00CC31F9" w:rsidR="00B0555D" w:rsidRDefault="00B0555D" w14:paraId="2269AB0A" w14:textId="77777777">
            <w:r w:rsidRPr="00CC31F9">
              <w:t>Materials- Pharmaceuticals and consumables</w:t>
            </w:r>
          </w:p>
        </w:tc>
        <w:tc>
          <w:tcPr>
            <w:tcW w:w="2410" w:type="dxa"/>
          </w:tcPr>
          <w:p w:rsidRPr="00CC31F9" w:rsidR="00B0555D" w:rsidRDefault="00B0555D" w14:paraId="4AD3563B" w14:textId="77777777">
            <w:pPr>
              <w:jc w:val="center"/>
              <w:rPr>
                <w:b/>
                <w:bCs/>
              </w:rPr>
            </w:pPr>
            <w:r>
              <w:rPr>
                <w:b/>
                <w:bCs/>
              </w:rPr>
              <w:t>30</w:t>
            </w:r>
            <w:r w:rsidRPr="00CC31F9">
              <w:rPr>
                <w:b/>
                <w:bCs/>
              </w:rPr>
              <w:t>%</w:t>
            </w:r>
          </w:p>
        </w:tc>
        <w:tc>
          <w:tcPr>
            <w:tcW w:w="2121" w:type="dxa"/>
          </w:tcPr>
          <w:p w:rsidRPr="00CC31F9" w:rsidR="00B0555D" w:rsidRDefault="00B0555D" w14:paraId="289FE6BC" w14:textId="77777777">
            <w:pPr>
              <w:jc w:val="center"/>
              <w:rPr>
                <w:b/>
                <w:bCs/>
              </w:rPr>
            </w:pPr>
            <w:r w:rsidRPr="00CC31F9">
              <w:rPr>
                <w:b/>
                <w:bCs/>
              </w:rPr>
              <w:t>30%</w:t>
            </w:r>
          </w:p>
        </w:tc>
      </w:tr>
      <w:tr w:rsidR="00B0555D" w14:paraId="172E157A" w14:textId="77777777">
        <w:tc>
          <w:tcPr>
            <w:tcW w:w="5447" w:type="dxa"/>
          </w:tcPr>
          <w:p w:rsidRPr="00CC31F9" w:rsidR="00B0555D" w:rsidRDefault="00B0555D" w14:paraId="16ECF14D" w14:textId="77777777">
            <w:r w:rsidRPr="00CC31F9">
              <w:t>Waste</w:t>
            </w:r>
          </w:p>
        </w:tc>
        <w:tc>
          <w:tcPr>
            <w:tcW w:w="2410" w:type="dxa"/>
          </w:tcPr>
          <w:p w:rsidRPr="00CC31F9" w:rsidR="00B0555D" w:rsidRDefault="00B0555D" w14:paraId="1AF1E0DB" w14:textId="77777777">
            <w:pPr>
              <w:jc w:val="center"/>
              <w:rPr>
                <w:b/>
                <w:bCs/>
              </w:rPr>
            </w:pPr>
            <w:r>
              <w:rPr>
                <w:b/>
                <w:bCs/>
              </w:rPr>
              <w:t>5</w:t>
            </w:r>
            <w:r w:rsidRPr="00CC31F9">
              <w:rPr>
                <w:b/>
                <w:bCs/>
              </w:rPr>
              <w:t>%</w:t>
            </w:r>
          </w:p>
        </w:tc>
        <w:tc>
          <w:tcPr>
            <w:tcW w:w="2121" w:type="dxa"/>
          </w:tcPr>
          <w:p w:rsidRPr="00CC31F9" w:rsidR="00B0555D" w:rsidRDefault="00B0555D" w14:paraId="4C4BE8C8" w14:textId="77777777">
            <w:pPr>
              <w:jc w:val="center"/>
              <w:rPr>
                <w:b/>
                <w:bCs/>
              </w:rPr>
            </w:pPr>
            <w:r w:rsidRPr="00CC31F9">
              <w:rPr>
                <w:b/>
                <w:bCs/>
              </w:rPr>
              <w:t>6%</w:t>
            </w:r>
          </w:p>
        </w:tc>
      </w:tr>
    </w:tbl>
    <w:p w:rsidRPr="00B0555D" w:rsidR="00B0555D" w:rsidP="00B0555D" w:rsidRDefault="00B0555D" w14:paraId="049F800F" w14:textId="77777777">
      <w:pPr>
        <w:rPr>
          <w:b/>
          <w:bCs/>
          <w:color w:val="538135" w:themeColor="accent6" w:themeShade="BF"/>
          <w:sz w:val="24"/>
          <w:szCs w:val="24"/>
        </w:rPr>
      </w:pPr>
    </w:p>
    <w:p w:rsidR="09DDC891" w:rsidP="00CA5630" w:rsidRDefault="09DDC891" w14:paraId="6F9AFB44" w14:textId="025248B6">
      <w:pPr>
        <w:pStyle w:val="ListParagraph"/>
        <w:numPr>
          <w:ilvl w:val="0"/>
          <w:numId w:val="33"/>
        </w:numPr>
        <w:rPr>
          <w:b/>
          <w:bCs/>
          <w:color w:val="538135" w:themeColor="accent6" w:themeShade="BF"/>
          <w:sz w:val="24"/>
          <w:szCs w:val="24"/>
        </w:rPr>
      </w:pPr>
      <w:r w:rsidRPr="00965522">
        <w:rPr>
          <w:b/>
          <w:bCs/>
          <w:color w:val="538135" w:themeColor="accent6" w:themeShade="BF"/>
          <w:sz w:val="24"/>
          <w:szCs w:val="24"/>
        </w:rPr>
        <w:t>Conclusion</w:t>
      </w:r>
    </w:p>
    <w:p w:rsidR="00DE7C5B" w:rsidP="000459A2" w:rsidRDefault="00C07395" w14:paraId="73F2600D" w14:textId="344F6CAC">
      <w:pPr>
        <w:jc w:val="both"/>
        <w:rPr>
          <w:rFonts w:cstheme="minorHAnsi"/>
          <w:bCs/>
        </w:rPr>
      </w:pPr>
      <w:r w:rsidRPr="005E4BAB">
        <w:rPr>
          <w:rFonts w:cstheme="minorHAnsi"/>
          <w:bCs/>
        </w:rPr>
        <w:t xml:space="preserve">This </w:t>
      </w:r>
      <w:r w:rsidR="003C0748">
        <w:rPr>
          <w:rFonts w:cstheme="minorHAnsi"/>
          <w:bCs/>
        </w:rPr>
        <w:t>evaluation</w:t>
      </w:r>
      <w:r w:rsidRPr="005E4BAB">
        <w:rPr>
          <w:rFonts w:cstheme="minorHAnsi"/>
          <w:bCs/>
        </w:rPr>
        <w:t xml:space="preserve"> aimed to provide the first step in developing a roadmap to </w:t>
      </w:r>
      <w:r w:rsidR="007C5152">
        <w:rPr>
          <w:rFonts w:cstheme="minorHAnsi"/>
          <w:bCs/>
        </w:rPr>
        <w:t xml:space="preserve">deliver a </w:t>
      </w:r>
      <w:r w:rsidRPr="005E4BAB">
        <w:rPr>
          <w:rFonts w:cstheme="minorHAnsi"/>
          <w:bCs/>
        </w:rPr>
        <w:t xml:space="preserve">net-zero renal care pathway. The environmental impacts of haemodialysis at Sheffield Teaching Hospitals during 2023 have been calculated and </w:t>
      </w:r>
      <w:r w:rsidRPr="005E4BAB">
        <w:rPr>
          <w:rFonts w:cstheme="minorHAnsi"/>
          <w:bCs/>
        </w:rPr>
        <w:lastRenderedPageBreak/>
        <w:t xml:space="preserve">an understanding of which activities contribute to the overall carbon emissions has been achieved. The </w:t>
      </w:r>
      <w:r w:rsidR="003C0748">
        <w:rPr>
          <w:rFonts w:cstheme="minorHAnsi"/>
          <w:bCs/>
        </w:rPr>
        <w:t>evaluation</w:t>
      </w:r>
      <w:r w:rsidRPr="005E4BAB">
        <w:rPr>
          <w:rFonts w:cstheme="minorHAnsi"/>
          <w:bCs/>
        </w:rPr>
        <w:t xml:space="preserve"> was undertaken using the Sustainable healthcare coalitions’ ICHD carbon calculator. This calculator presented limitation</w:t>
      </w:r>
      <w:r w:rsidR="00262497">
        <w:rPr>
          <w:rFonts w:cstheme="minorHAnsi"/>
          <w:bCs/>
        </w:rPr>
        <w:t>s</w:t>
      </w:r>
      <w:r w:rsidR="00F12441">
        <w:rPr>
          <w:rFonts w:cstheme="minorHAnsi"/>
          <w:bCs/>
        </w:rPr>
        <w:t>, such as</w:t>
      </w:r>
      <w:r w:rsidRPr="005E4BAB">
        <w:rPr>
          <w:rFonts w:cstheme="minorHAnsi"/>
          <w:bCs/>
        </w:rPr>
        <w:t xml:space="preserve"> </w:t>
      </w:r>
      <w:r w:rsidR="00E769D5">
        <w:rPr>
          <w:rFonts w:cstheme="minorHAnsi"/>
          <w:bCs/>
        </w:rPr>
        <w:t xml:space="preserve">the use of </w:t>
      </w:r>
      <w:r w:rsidRPr="005E4BAB">
        <w:rPr>
          <w:rFonts w:cstheme="minorHAnsi"/>
          <w:bCs/>
        </w:rPr>
        <w:t>generic footprint</w:t>
      </w:r>
      <w:r w:rsidR="00E769D5">
        <w:rPr>
          <w:rFonts w:cstheme="minorHAnsi"/>
          <w:bCs/>
        </w:rPr>
        <w:t>s</w:t>
      </w:r>
      <w:r w:rsidRPr="005E4BAB">
        <w:rPr>
          <w:rFonts w:cstheme="minorHAnsi"/>
          <w:bCs/>
        </w:rPr>
        <w:t xml:space="preserve"> for pharmaceutical, consumables and equipment</w:t>
      </w:r>
      <w:r w:rsidR="00E769D5">
        <w:rPr>
          <w:rFonts w:cstheme="minorHAnsi"/>
          <w:bCs/>
        </w:rPr>
        <w:t xml:space="preserve">. This highlighted the requirement to </w:t>
      </w:r>
      <w:r w:rsidR="002C7CD2">
        <w:rPr>
          <w:rFonts w:cstheme="minorHAnsi"/>
          <w:bCs/>
        </w:rPr>
        <w:t>improve the data metrics to give a more accurate baseline to work from.</w:t>
      </w:r>
      <w:r w:rsidR="009C189C">
        <w:rPr>
          <w:rFonts w:cstheme="minorHAnsi"/>
          <w:bCs/>
        </w:rPr>
        <w:t xml:space="preserve"> </w:t>
      </w:r>
      <w:r w:rsidR="00091363">
        <w:rPr>
          <w:rFonts w:cstheme="minorHAnsi"/>
          <w:bCs/>
        </w:rPr>
        <w:t>Following this</w:t>
      </w:r>
      <w:r w:rsidR="000237AC">
        <w:rPr>
          <w:rFonts w:cstheme="minorHAnsi"/>
          <w:bCs/>
        </w:rPr>
        <w:t>,</w:t>
      </w:r>
      <w:r w:rsidR="00091363">
        <w:rPr>
          <w:rFonts w:cstheme="minorHAnsi"/>
          <w:bCs/>
        </w:rPr>
        <w:t xml:space="preserve"> </w:t>
      </w:r>
      <w:r w:rsidR="00034541">
        <w:rPr>
          <w:rFonts w:cstheme="minorHAnsi"/>
          <w:bCs/>
        </w:rPr>
        <w:t>Key Performance Indicators</w:t>
      </w:r>
      <w:r w:rsidR="007919FE">
        <w:rPr>
          <w:rFonts w:cstheme="minorHAnsi"/>
          <w:bCs/>
        </w:rPr>
        <w:t xml:space="preserve"> (KPI)</w:t>
      </w:r>
      <w:r w:rsidR="00034541">
        <w:rPr>
          <w:rFonts w:cstheme="minorHAnsi"/>
          <w:bCs/>
        </w:rPr>
        <w:t xml:space="preserve"> can be agreed and track</w:t>
      </w:r>
      <w:r w:rsidR="007919FE">
        <w:rPr>
          <w:rFonts w:cstheme="minorHAnsi"/>
          <w:bCs/>
        </w:rPr>
        <w:t>ed</w:t>
      </w:r>
      <w:r w:rsidR="00034541">
        <w:rPr>
          <w:rFonts w:cstheme="minorHAnsi"/>
          <w:bCs/>
        </w:rPr>
        <w:t xml:space="preserve"> as actions are completed. The </w:t>
      </w:r>
      <w:r w:rsidR="00BF4905">
        <w:rPr>
          <w:rFonts w:cstheme="minorHAnsi"/>
          <w:bCs/>
        </w:rPr>
        <w:t>action</w:t>
      </w:r>
      <w:r w:rsidR="00034541">
        <w:rPr>
          <w:rFonts w:cstheme="minorHAnsi"/>
          <w:bCs/>
        </w:rPr>
        <w:t xml:space="preserve"> plan </w:t>
      </w:r>
      <w:r w:rsidR="00192A84">
        <w:rPr>
          <w:rFonts w:cstheme="minorHAnsi"/>
          <w:bCs/>
        </w:rPr>
        <w:t xml:space="preserve">is included </w:t>
      </w:r>
      <w:r w:rsidR="00034541">
        <w:rPr>
          <w:rFonts w:cstheme="minorHAnsi"/>
          <w:bCs/>
        </w:rPr>
        <w:t xml:space="preserve">in the </w:t>
      </w:r>
      <w:r w:rsidR="00BF4905">
        <w:rPr>
          <w:rFonts w:cstheme="minorHAnsi"/>
          <w:bCs/>
        </w:rPr>
        <w:t>closing section</w:t>
      </w:r>
      <w:r w:rsidR="00034541">
        <w:rPr>
          <w:rFonts w:cstheme="minorHAnsi"/>
          <w:bCs/>
        </w:rPr>
        <w:t xml:space="preserve"> below.</w:t>
      </w:r>
      <w:r w:rsidR="004E495E">
        <w:rPr>
          <w:rFonts w:cstheme="minorHAnsi"/>
          <w:bCs/>
        </w:rPr>
        <w:t xml:space="preserve"> To support the work included in the action plan</w:t>
      </w:r>
      <w:r w:rsidR="002101E9">
        <w:rPr>
          <w:rFonts w:cstheme="minorHAnsi"/>
          <w:bCs/>
        </w:rPr>
        <w:t xml:space="preserve"> will require</w:t>
      </w:r>
      <w:r w:rsidR="004E495E">
        <w:rPr>
          <w:rFonts w:cstheme="minorHAnsi"/>
          <w:bCs/>
        </w:rPr>
        <w:t xml:space="preserve"> a project team</w:t>
      </w:r>
      <w:r w:rsidR="00051FE2">
        <w:rPr>
          <w:rFonts w:cstheme="minorHAnsi"/>
          <w:bCs/>
        </w:rPr>
        <w:t xml:space="preserve"> with clinical, corporate, estates and </w:t>
      </w:r>
      <w:r w:rsidR="00D422DA">
        <w:rPr>
          <w:rFonts w:cstheme="minorHAnsi"/>
          <w:bCs/>
        </w:rPr>
        <w:t>facilities</w:t>
      </w:r>
      <w:r w:rsidR="00060DAA">
        <w:rPr>
          <w:rFonts w:cstheme="minorHAnsi"/>
          <w:bCs/>
        </w:rPr>
        <w:t xml:space="preserve"> </w:t>
      </w:r>
      <w:r w:rsidR="00D422DA">
        <w:rPr>
          <w:rFonts w:cstheme="minorHAnsi"/>
          <w:bCs/>
        </w:rPr>
        <w:t>members.</w:t>
      </w:r>
    </w:p>
    <w:p w:rsidRPr="000459A2" w:rsidR="09DDC891" w:rsidP="000459A2" w:rsidRDefault="09DDC891" w14:paraId="3EC34813" w14:textId="53FBB47E">
      <w:pPr>
        <w:pStyle w:val="ListParagraph"/>
        <w:numPr>
          <w:ilvl w:val="0"/>
          <w:numId w:val="33"/>
        </w:numPr>
        <w:jc w:val="both"/>
        <w:rPr>
          <w:b/>
          <w:bCs/>
          <w:color w:val="538135" w:themeColor="accent6" w:themeShade="BF"/>
          <w:sz w:val="24"/>
          <w:szCs w:val="24"/>
        </w:rPr>
      </w:pPr>
      <w:r w:rsidRPr="000459A2">
        <w:rPr>
          <w:b/>
          <w:bCs/>
          <w:color w:val="538135" w:themeColor="accent6" w:themeShade="BF"/>
          <w:sz w:val="24"/>
          <w:szCs w:val="24"/>
        </w:rPr>
        <w:t>Key findings</w:t>
      </w:r>
      <w:r w:rsidRPr="000459A2" w:rsidR="005A266F">
        <w:rPr>
          <w:b/>
          <w:bCs/>
          <w:color w:val="538135" w:themeColor="accent6" w:themeShade="BF"/>
          <w:sz w:val="24"/>
          <w:szCs w:val="24"/>
        </w:rPr>
        <w:t xml:space="preserve"> and limitations</w:t>
      </w:r>
    </w:p>
    <w:p w:rsidRPr="00C07395" w:rsidR="00C07395" w:rsidP="00C07395" w:rsidRDefault="00C07395" w14:paraId="321FB2AE" w14:textId="1064845B">
      <w:pPr>
        <w:pStyle w:val="ListParagraph"/>
        <w:ind w:left="375"/>
        <w:jc w:val="both"/>
        <w:rPr>
          <w:rFonts w:cstheme="minorHAnsi"/>
          <w:bCs/>
        </w:rPr>
      </w:pPr>
      <w:r w:rsidRPr="00C07395">
        <w:rPr>
          <w:rFonts w:cstheme="minorHAnsi"/>
          <w:bCs/>
        </w:rPr>
        <w:t xml:space="preserve">The following </w:t>
      </w:r>
      <w:r w:rsidRPr="00C07395">
        <w:rPr>
          <w:rFonts w:cstheme="minorHAnsi"/>
          <w:b/>
        </w:rPr>
        <w:t>key findings</w:t>
      </w:r>
      <w:r w:rsidRPr="00C07395">
        <w:rPr>
          <w:rFonts w:cstheme="minorHAnsi"/>
          <w:bCs/>
        </w:rPr>
        <w:t xml:space="preserve"> can be drawn from the ICHD pathway </w:t>
      </w:r>
      <w:r w:rsidR="003C0748">
        <w:rPr>
          <w:rFonts w:cstheme="minorHAnsi"/>
          <w:bCs/>
        </w:rPr>
        <w:t>evaluation</w:t>
      </w:r>
      <w:r w:rsidR="00BD1493">
        <w:rPr>
          <w:rFonts w:cstheme="minorHAnsi"/>
          <w:bCs/>
        </w:rPr>
        <w:t>.</w:t>
      </w:r>
    </w:p>
    <w:p w:rsidR="00424C9B" w:rsidP="006C59B4" w:rsidRDefault="00C07395" w14:paraId="68973EC1" w14:textId="13A1B0A8">
      <w:pPr>
        <w:ind w:left="375"/>
        <w:jc w:val="both"/>
        <w:rPr>
          <w:rFonts w:cstheme="minorHAnsi"/>
          <w:bCs/>
        </w:rPr>
      </w:pPr>
      <w:r w:rsidRPr="00C07395">
        <w:rPr>
          <w:rFonts w:cstheme="minorHAnsi"/>
          <w:bCs/>
        </w:rPr>
        <w:t xml:space="preserve">The total GHG impact of providing </w:t>
      </w:r>
      <w:r w:rsidRPr="00C07395">
        <w:rPr>
          <w:rFonts w:cstheme="minorHAnsi"/>
          <w:b/>
        </w:rPr>
        <w:t xml:space="preserve">48,204 sessions </w:t>
      </w:r>
      <w:r w:rsidRPr="00C07395">
        <w:rPr>
          <w:rFonts w:cstheme="minorHAnsi"/>
          <w:bCs/>
        </w:rPr>
        <w:t xml:space="preserve">of ICHD at Sheffield Teaching Hospitals is estimated to be </w:t>
      </w:r>
      <w:r w:rsidRPr="00C07395">
        <w:rPr>
          <w:rFonts w:cstheme="minorHAnsi"/>
          <w:b/>
        </w:rPr>
        <w:t>827,947 kgCO</w:t>
      </w:r>
      <w:r w:rsidRPr="00C07395">
        <w:rPr>
          <w:rFonts w:cstheme="minorHAnsi"/>
          <w:b/>
          <w:vertAlign w:val="subscript"/>
        </w:rPr>
        <w:t>2</w:t>
      </w:r>
      <w:r w:rsidRPr="00C07395">
        <w:rPr>
          <w:rFonts w:cstheme="minorHAnsi"/>
          <w:b/>
        </w:rPr>
        <w:t xml:space="preserve">e </w:t>
      </w:r>
      <w:r w:rsidRPr="00C07395">
        <w:rPr>
          <w:rFonts w:cstheme="minorHAnsi"/>
          <w:bCs/>
        </w:rPr>
        <w:t>and can be expressed as</w:t>
      </w:r>
      <w:r w:rsidRPr="00C07395">
        <w:rPr>
          <w:rFonts w:cstheme="minorHAnsi"/>
          <w:b/>
        </w:rPr>
        <w:t xml:space="preserve"> 17 kg CO</w:t>
      </w:r>
      <w:r w:rsidRPr="00C07395">
        <w:rPr>
          <w:rFonts w:cstheme="minorHAnsi"/>
          <w:b/>
          <w:vertAlign w:val="subscript"/>
        </w:rPr>
        <w:t>2</w:t>
      </w:r>
      <w:r w:rsidRPr="00C07395">
        <w:rPr>
          <w:rFonts w:cstheme="minorHAnsi"/>
          <w:b/>
        </w:rPr>
        <w:t>e</w:t>
      </w:r>
      <w:r w:rsidRPr="00C07395">
        <w:rPr>
          <w:rFonts w:cstheme="minorHAnsi"/>
          <w:bCs/>
        </w:rPr>
        <w:t xml:space="preserve"> per dialysis session.</w:t>
      </w:r>
    </w:p>
    <w:p w:rsidR="005730D8" w:rsidP="00C07395" w:rsidRDefault="00424C9B" w14:paraId="30F3CC21" w14:textId="3B9129C7">
      <w:pPr>
        <w:ind w:left="375"/>
        <w:jc w:val="both"/>
      </w:pPr>
      <w:r>
        <w:t xml:space="preserve">A contribution analysis of the above GHG impact reveals: </w:t>
      </w:r>
    </w:p>
    <w:p w:rsidRPr="005730D8" w:rsidR="009705CF" w:rsidP="009705CF" w:rsidRDefault="009705CF" w14:paraId="0EDE57E3" w14:textId="77777777">
      <w:pPr>
        <w:pStyle w:val="ListParagraph"/>
        <w:numPr>
          <w:ilvl w:val="0"/>
          <w:numId w:val="37"/>
        </w:numPr>
        <w:jc w:val="both"/>
        <w:rPr>
          <w:rFonts w:cstheme="minorHAnsi"/>
          <w:bCs/>
        </w:rPr>
      </w:pPr>
      <w:r>
        <w:t>The impacts associated with fossil fuel production and combustion to power both patient travel and staff commutes makes the largest contribution, 40% of the total.</w:t>
      </w:r>
    </w:p>
    <w:p w:rsidRPr="005730D8" w:rsidR="009705CF" w:rsidP="009705CF" w:rsidRDefault="009705CF" w14:paraId="02DE4622" w14:textId="77777777">
      <w:pPr>
        <w:pStyle w:val="ListParagraph"/>
        <w:numPr>
          <w:ilvl w:val="0"/>
          <w:numId w:val="37"/>
        </w:numPr>
        <w:jc w:val="both"/>
        <w:rPr>
          <w:rFonts w:cstheme="minorHAnsi"/>
          <w:bCs/>
        </w:rPr>
      </w:pPr>
      <w:r>
        <w:t>The impacts associated with the manufacture, packaging and distribution of the used pharmaceuticals, consumables, and equipment makes the second largest contribution, 30% of the total.</w:t>
      </w:r>
    </w:p>
    <w:p w:rsidRPr="009705CF" w:rsidR="009705CF" w:rsidP="009705CF" w:rsidRDefault="009705CF" w14:paraId="61042502" w14:textId="77777777">
      <w:pPr>
        <w:pStyle w:val="ListParagraph"/>
        <w:numPr>
          <w:ilvl w:val="0"/>
          <w:numId w:val="37"/>
        </w:numPr>
        <w:jc w:val="both"/>
        <w:rPr>
          <w:rFonts w:cstheme="minorHAnsi"/>
          <w:bCs/>
        </w:rPr>
      </w:pPr>
      <w:r>
        <w:t xml:space="preserve">The utilities required, and the impacts associated with their energy and water consumptions, makes a significant contribution, 25% of the total. </w:t>
      </w:r>
    </w:p>
    <w:p w:rsidRPr="009705CF" w:rsidR="00084F5D" w:rsidP="009705CF" w:rsidRDefault="009705CF" w14:paraId="444213AF" w14:textId="4F07861A">
      <w:pPr>
        <w:pStyle w:val="ListParagraph"/>
        <w:numPr>
          <w:ilvl w:val="0"/>
          <w:numId w:val="37"/>
        </w:numPr>
        <w:jc w:val="both"/>
        <w:rPr>
          <w:rFonts w:cstheme="minorHAnsi"/>
          <w:bCs/>
        </w:rPr>
      </w:pPr>
      <w:r>
        <w:t>The impacts associated with treatments of generated solid waste, have a smaller contribution of 5% of the total.</w:t>
      </w:r>
    </w:p>
    <w:p w:rsidRPr="009705CF" w:rsidR="009A5B25" w:rsidP="009705CF" w:rsidRDefault="009A5B25" w14:paraId="1C0D6C69" w14:textId="77777777">
      <w:pPr>
        <w:pStyle w:val="ListParagraph"/>
        <w:ind w:left="1095"/>
        <w:jc w:val="both"/>
        <w:rPr>
          <w:rFonts w:cstheme="minorHAnsi"/>
          <w:bCs/>
        </w:rPr>
      </w:pPr>
    </w:p>
    <w:p w:rsidR="00A516C8" w:rsidP="00E01C2E" w:rsidRDefault="09DDC891" w14:paraId="774C0679" w14:textId="5302241C">
      <w:pPr>
        <w:pStyle w:val="ListParagraph"/>
        <w:numPr>
          <w:ilvl w:val="0"/>
          <w:numId w:val="33"/>
        </w:numPr>
        <w:rPr>
          <w:b/>
          <w:bCs/>
          <w:color w:val="538135" w:themeColor="accent6" w:themeShade="BF"/>
          <w:sz w:val="24"/>
          <w:szCs w:val="24"/>
        </w:rPr>
      </w:pPr>
      <w:r w:rsidRPr="00965522">
        <w:rPr>
          <w:b/>
          <w:bCs/>
          <w:color w:val="538135" w:themeColor="accent6" w:themeShade="BF"/>
          <w:sz w:val="24"/>
          <w:szCs w:val="24"/>
        </w:rPr>
        <w:t>Recommendations and improvement</w:t>
      </w:r>
      <w:r w:rsidR="00897F88">
        <w:rPr>
          <w:b/>
          <w:bCs/>
          <w:color w:val="538135" w:themeColor="accent6" w:themeShade="BF"/>
          <w:sz w:val="24"/>
          <w:szCs w:val="24"/>
        </w:rPr>
        <w:t>s</w:t>
      </w:r>
    </w:p>
    <w:p w:rsidRPr="00E01C2E" w:rsidR="00897F88" w:rsidP="00897F88" w:rsidRDefault="00897F88" w14:paraId="169C1581" w14:textId="77777777">
      <w:pPr>
        <w:pStyle w:val="ListParagraph"/>
        <w:ind w:left="375"/>
        <w:rPr>
          <w:b/>
          <w:bCs/>
          <w:color w:val="538135" w:themeColor="accent6" w:themeShade="BF"/>
          <w:sz w:val="24"/>
          <w:szCs w:val="24"/>
        </w:rPr>
      </w:pPr>
    </w:p>
    <w:p w:rsidRPr="00FA2353" w:rsidR="00FA2353" w:rsidP="00FA2353" w:rsidRDefault="00FA2353" w14:paraId="24BCFBF2" w14:textId="2439EAA3">
      <w:pPr>
        <w:pStyle w:val="ListParagraph"/>
        <w:numPr>
          <w:ilvl w:val="0"/>
          <w:numId w:val="36"/>
        </w:numPr>
        <w:jc w:val="both"/>
      </w:pPr>
      <w:r w:rsidRPr="003008AC">
        <w:rPr>
          <w:b/>
          <w:bCs/>
          <w:color w:val="538135" w:themeColor="accent6" w:themeShade="BF"/>
        </w:rPr>
        <w:t xml:space="preserve">Undertake a deep dive into </w:t>
      </w:r>
      <w:r w:rsidR="005771FB">
        <w:rPr>
          <w:b/>
          <w:bCs/>
          <w:color w:val="538135" w:themeColor="accent6" w:themeShade="BF"/>
        </w:rPr>
        <w:t>patient</w:t>
      </w:r>
      <w:r w:rsidRPr="003008AC">
        <w:rPr>
          <w:b/>
          <w:bCs/>
          <w:color w:val="538135" w:themeColor="accent6" w:themeShade="BF"/>
        </w:rPr>
        <w:t xml:space="preserve"> travel arrangements</w:t>
      </w:r>
      <w:r w:rsidRPr="003008AC">
        <w:rPr>
          <w:color w:val="538135" w:themeColor="accent6" w:themeShade="BF"/>
        </w:rPr>
        <w:t xml:space="preserve"> </w:t>
      </w:r>
      <w:r w:rsidRPr="00FA2353">
        <w:t>to gain a greater under</w:t>
      </w:r>
      <w:r w:rsidR="00553660">
        <w:t>standing</w:t>
      </w:r>
      <w:r w:rsidRPr="00FA2353">
        <w:t xml:space="preserve"> of the use of hospital transport and the type of vehicles that are being used.</w:t>
      </w:r>
    </w:p>
    <w:p w:rsidRPr="00B42F0C" w:rsidR="731ED422" w:rsidP="0EEC9753" w:rsidRDefault="731ED422" w14:paraId="0D30E7E5" w14:textId="3476FF01">
      <w:pPr>
        <w:pStyle w:val="ListParagraph"/>
        <w:numPr>
          <w:ilvl w:val="0"/>
          <w:numId w:val="36"/>
        </w:numPr>
        <w:jc w:val="both"/>
      </w:pPr>
      <w:r w:rsidRPr="0EEC9753">
        <w:rPr>
          <w:b/>
          <w:bCs/>
          <w:color w:val="538135" w:themeColor="accent6" w:themeShade="BF"/>
        </w:rPr>
        <w:t xml:space="preserve">Explore opportunities to move patient treatment closer to home, </w:t>
      </w:r>
      <w:r w:rsidRPr="00B42F0C">
        <w:t>thereby reducing “care miles” associated with Haemodialysis.</w:t>
      </w:r>
    </w:p>
    <w:p w:rsidRPr="003008AC" w:rsidR="007B7350" w:rsidP="00B42F0C" w:rsidRDefault="007B7350" w14:paraId="34EA5569" w14:textId="21BD44FD">
      <w:pPr>
        <w:pStyle w:val="ListParagraph"/>
        <w:numPr>
          <w:ilvl w:val="0"/>
          <w:numId w:val="36"/>
        </w:numPr>
        <w:jc w:val="both"/>
      </w:pPr>
      <w:r w:rsidRPr="00B42F0C">
        <w:rPr>
          <w:b/>
          <w:bCs/>
          <w:color w:val="538135" w:themeColor="accent6" w:themeShade="BF"/>
        </w:rPr>
        <w:t xml:space="preserve">Review the current DNA rates </w:t>
      </w:r>
      <w:r w:rsidRPr="003008AC">
        <w:t xml:space="preserve">and gain </w:t>
      </w:r>
      <w:r w:rsidRPr="003008AC" w:rsidR="003F6E0A">
        <w:t xml:space="preserve">an </w:t>
      </w:r>
      <w:r w:rsidRPr="003008AC">
        <w:t xml:space="preserve">understanding </w:t>
      </w:r>
      <w:r w:rsidRPr="003008AC" w:rsidR="003F6E0A">
        <w:t>of the</w:t>
      </w:r>
      <w:r w:rsidRPr="003008AC">
        <w:t xml:space="preserve"> reasons. Reduc</w:t>
      </w:r>
      <w:r w:rsidRPr="003008AC" w:rsidR="00773FED">
        <w:t>ing</w:t>
      </w:r>
      <w:r w:rsidRPr="003008AC">
        <w:t xml:space="preserve"> the DNA rate will improve the use of resources and avoid waste</w:t>
      </w:r>
    </w:p>
    <w:p w:rsidRPr="003008AC" w:rsidR="00BD5A25" w:rsidP="00BD5A25" w:rsidRDefault="00BD5A25" w14:paraId="11E14709" w14:textId="7F10BA7B">
      <w:pPr>
        <w:pStyle w:val="ListParagraph"/>
        <w:numPr>
          <w:ilvl w:val="0"/>
          <w:numId w:val="36"/>
        </w:numPr>
        <w:jc w:val="both"/>
      </w:pPr>
      <w:r w:rsidRPr="003008AC">
        <w:rPr>
          <w:b/>
          <w:bCs/>
          <w:color w:val="538135" w:themeColor="accent6" w:themeShade="BF"/>
        </w:rPr>
        <w:t>Undertake a specific</w:t>
      </w:r>
      <w:r w:rsidRPr="003008AC" w:rsidR="003008AC">
        <w:rPr>
          <w:b/>
          <w:bCs/>
          <w:color w:val="538135" w:themeColor="accent6" w:themeShade="BF"/>
        </w:rPr>
        <w:t xml:space="preserve"> travel</w:t>
      </w:r>
      <w:r w:rsidRPr="003008AC">
        <w:rPr>
          <w:b/>
          <w:bCs/>
          <w:color w:val="538135" w:themeColor="accent6" w:themeShade="BF"/>
        </w:rPr>
        <w:t xml:space="preserve"> survey of the staff working within the Renal units</w:t>
      </w:r>
      <w:r w:rsidRPr="003008AC">
        <w:rPr>
          <w:color w:val="538135" w:themeColor="accent6" w:themeShade="BF"/>
        </w:rPr>
        <w:t xml:space="preserve"> </w:t>
      </w:r>
      <w:r w:rsidRPr="003008AC">
        <w:t>at STH to improve data associated with staff travel.</w:t>
      </w:r>
    </w:p>
    <w:p w:rsidRPr="003008AC" w:rsidR="00B542CC" w:rsidP="00B542CC" w:rsidRDefault="00B542CC" w14:paraId="51A9F5F5" w14:textId="49F4AA83">
      <w:pPr>
        <w:pStyle w:val="ListParagraph"/>
        <w:numPr>
          <w:ilvl w:val="0"/>
          <w:numId w:val="36"/>
        </w:numPr>
        <w:jc w:val="both"/>
      </w:pPr>
      <w:r w:rsidRPr="003008AC">
        <w:rPr>
          <w:rFonts w:asciiTheme="minorHAnsi" w:hAnsiTheme="minorHAnsi" w:eastAsiaTheme="minorHAnsi" w:cstheme="minorBidi"/>
          <w:b/>
          <w:bCs/>
          <w:color w:val="538135" w:themeColor="accent6" w:themeShade="BF"/>
        </w:rPr>
        <w:t>To work with the Sustainable Healthcare Coalition to improve the metrics</w:t>
      </w:r>
      <w:r w:rsidRPr="003008AC">
        <w:rPr>
          <w:rFonts w:asciiTheme="minorHAnsi" w:hAnsiTheme="minorHAnsi" w:eastAsiaTheme="minorHAnsi" w:cstheme="minorBidi"/>
        </w:rPr>
        <w:t xml:space="preserve"> for pharmaceutical. Improving the metrics and including all STH pharmaceuticals routinely used will be more representative of the carbon intensity of these pharmaceuticals. This will then allow progress </w:t>
      </w:r>
      <w:r w:rsidR="00F526D7">
        <w:rPr>
          <w:rFonts w:asciiTheme="minorHAnsi" w:hAnsiTheme="minorHAnsi" w:eastAsiaTheme="minorHAnsi" w:cstheme="minorBidi"/>
        </w:rPr>
        <w:t>with</w:t>
      </w:r>
      <w:r w:rsidRPr="003008AC">
        <w:rPr>
          <w:rFonts w:asciiTheme="minorHAnsi" w:hAnsiTheme="minorHAnsi" w:eastAsiaTheme="minorHAnsi" w:cstheme="minorBidi"/>
        </w:rPr>
        <w:t xml:space="preserve"> assessing whether there are any lower carbon </w:t>
      </w:r>
      <w:r w:rsidR="00F526D7">
        <w:rPr>
          <w:rFonts w:asciiTheme="minorHAnsi" w:hAnsiTheme="minorHAnsi" w:eastAsiaTheme="minorHAnsi" w:cstheme="minorBidi"/>
        </w:rPr>
        <w:t>alternatives</w:t>
      </w:r>
      <w:r w:rsidRPr="003008AC">
        <w:rPr>
          <w:rFonts w:asciiTheme="minorHAnsi" w:hAnsiTheme="minorHAnsi" w:eastAsiaTheme="minorHAnsi" w:cstheme="minorBidi"/>
        </w:rPr>
        <w:t xml:space="preserve"> that STH could use</w:t>
      </w:r>
      <w:r w:rsidRPr="003008AC">
        <w:t>.</w:t>
      </w:r>
    </w:p>
    <w:p w:rsidRPr="003D786A" w:rsidR="003D786A" w:rsidP="003D786A" w:rsidRDefault="003C0748" w14:paraId="1CFE39A6" w14:textId="0FA0A081">
      <w:pPr>
        <w:pStyle w:val="ListParagraph"/>
        <w:numPr>
          <w:ilvl w:val="0"/>
          <w:numId w:val="36"/>
        </w:numPr>
        <w:jc w:val="both"/>
        <w:rPr>
          <w:bCs/>
        </w:rPr>
      </w:pPr>
      <w:r>
        <w:rPr>
          <w:b/>
          <w:bCs/>
          <w:color w:val="538135" w:themeColor="accent6" w:themeShade="BF"/>
        </w:rPr>
        <w:t>Evaluation</w:t>
      </w:r>
      <w:r w:rsidRPr="003008AC" w:rsidR="00132A0A">
        <w:rPr>
          <w:b/>
          <w:bCs/>
          <w:color w:val="538135" w:themeColor="accent6" w:themeShade="BF"/>
        </w:rPr>
        <w:t xml:space="preserve"> of the manufacture, packaging and distribution of consumables and pharmaceuticals</w:t>
      </w:r>
      <w:r w:rsidRPr="003008AC" w:rsidR="00132A0A">
        <w:t xml:space="preserve">. This could be done by sourcing the life cycle impact data from suppliers to fully understand the carbon impact. </w:t>
      </w:r>
      <w:r w:rsidRPr="003D786A" w:rsidR="003D786A">
        <w:t>Collaboration in the procurement process with the supplier to optimise the packaging to reduce the amount of waste generated.</w:t>
      </w:r>
    </w:p>
    <w:p w:rsidRPr="001F5783" w:rsidR="001F5783" w:rsidP="001F5783" w:rsidRDefault="001F5783" w14:paraId="35F181D4" w14:textId="5270610F">
      <w:pPr>
        <w:pStyle w:val="ListParagraph"/>
        <w:numPr>
          <w:ilvl w:val="0"/>
          <w:numId w:val="36"/>
        </w:numPr>
      </w:pPr>
      <w:r w:rsidRPr="00AD10A4">
        <w:rPr>
          <w:b/>
          <w:bCs/>
          <w:color w:val="538135" w:themeColor="accent6" w:themeShade="BF"/>
        </w:rPr>
        <w:t xml:space="preserve">Engage with </w:t>
      </w:r>
      <w:r w:rsidR="00740ACF">
        <w:rPr>
          <w:b/>
          <w:bCs/>
          <w:color w:val="538135" w:themeColor="accent6" w:themeShade="BF"/>
        </w:rPr>
        <w:t>E</w:t>
      </w:r>
      <w:r w:rsidRPr="00AD10A4">
        <w:rPr>
          <w:b/>
          <w:bCs/>
          <w:color w:val="538135" w:themeColor="accent6" w:themeShade="BF"/>
        </w:rPr>
        <w:t xml:space="preserve">states to assess whether metering could be undertaken, </w:t>
      </w:r>
      <w:r w:rsidRPr="001F5783">
        <w:t>this will allow improved data metrics and provide a more accurate baseline. Agreement would be required to provide monthly data to demonstrate the impact of any changes made. This would include staff education, ensuring that lights are switched off and machines powered down when not in use.</w:t>
      </w:r>
    </w:p>
    <w:p w:rsidRPr="004808C7" w:rsidR="004808C7" w:rsidP="004808C7" w:rsidRDefault="004808C7" w14:paraId="532A1574" w14:textId="77777777">
      <w:pPr>
        <w:pStyle w:val="ListParagraph"/>
        <w:numPr>
          <w:ilvl w:val="0"/>
          <w:numId w:val="36"/>
        </w:numPr>
        <w:jc w:val="both"/>
      </w:pPr>
      <w:r w:rsidRPr="0090299D">
        <w:rPr>
          <w:b/>
          <w:bCs/>
          <w:color w:val="538135" w:themeColor="accent6" w:themeShade="BF"/>
        </w:rPr>
        <w:lastRenderedPageBreak/>
        <w:t>Improve waste streams and introduce recycling</w:t>
      </w:r>
      <w:r w:rsidRPr="005E4BAB">
        <w:rPr>
          <w:rFonts w:asciiTheme="minorHAnsi" w:hAnsiTheme="minorHAnsi" w:cstheme="minorHAnsi"/>
        </w:rPr>
        <w:t>.</w:t>
      </w:r>
      <w:r>
        <w:rPr>
          <w:rFonts w:asciiTheme="minorHAnsi" w:hAnsiTheme="minorHAnsi" w:cstheme="minorHAnsi"/>
        </w:rPr>
        <w:t xml:space="preserve"> </w:t>
      </w:r>
      <w:r w:rsidRPr="004808C7">
        <w:t>This would be done by adopting the bag to bed system, ensuring there is a recycling option for the packaging. Staff education is key, especially with the separation of paper and plastic packaging to ensure that this can be fully recycled at the disposal centre.</w:t>
      </w:r>
    </w:p>
    <w:p w:rsidRPr="00400A6E" w:rsidR="00400A6E" w:rsidP="00400A6E" w:rsidRDefault="00400A6E" w14:paraId="6423D91D" w14:textId="2F91D59F">
      <w:pPr>
        <w:pStyle w:val="ListParagraph"/>
        <w:numPr>
          <w:ilvl w:val="0"/>
          <w:numId w:val="36"/>
        </w:numPr>
        <w:jc w:val="both"/>
        <w:rPr>
          <w:rFonts w:asciiTheme="minorHAnsi" w:hAnsiTheme="minorHAnsi" w:eastAsiaTheme="minorHAnsi" w:cstheme="minorBidi"/>
        </w:rPr>
      </w:pPr>
      <w:r>
        <w:rPr>
          <w:rFonts w:asciiTheme="minorHAnsi" w:hAnsiTheme="minorHAnsi" w:eastAsiaTheme="minorHAnsi" w:cstheme="minorBidi"/>
          <w:b/>
          <w:bCs/>
          <w:color w:val="538135" w:themeColor="accent6" w:themeShade="BF"/>
        </w:rPr>
        <w:t>Collaboration with estates improve</w:t>
      </w:r>
      <w:r w:rsidR="00EE1DB7">
        <w:rPr>
          <w:rFonts w:asciiTheme="minorHAnsi" w:hAnsiTheme="minorHAnsi" w:eastAsiaTheme="minorHAnsi" w:cstheme="minorBidi"/>
          <w:b/>
          <w:bCs/>
          <w:color w:val="538135" w:themeColor="accent6" w:themeShade="BF"/>
        </w:rPr>
        <w:t xml:space="preserve"> the baseline</w:t>
      </w:r>
      <w:r>
        <w:rPr>
          <w:rFonts w:asciiTheme="minorHAnsi" w:hAnsiTheme="minorHAnsi" w:eastAsiaTheme="minorHAnsi" w:cstheme="minorBidi"/>
          <w:b/>
          <w:bCs/>
          <w:color w:val="538135" w:themeColor="accent6" w:themeShade="BF"/>
        </w:rPr>
        <w:t xml:space="preserve"> metric</w:t>
      </w:r>
      <w:r w:rsidR="00EE1DB7">
        <w:rPr>
          <w:rFonts w:asciiTheme="minorHAnsi" w:hAnsiTheme="minorHAnsi" w:eastAsiaTheme="minorHAnsi" w:cstheme="minorBidi"/>
          <w:b/>
          <w:bCs/>
          <w:color w:val="538135" w:themeColor="accent6" w:themeShade="BF"/>
        </w:rPr>
        <w:t xml:space="preserve"> for water use</w:t>
      </w:r>
      <w:r>
        <w:rPr>
          <w:rFonts w:asciiTheme="minorHAnsi" w:hAnsiTheme="minorHAnsi" w:eastAsiaTheme="minorHAnsi" w:cstheme="minorBidi"/>
          <w:b/>
          <w:bCs/>
          <w:color w:val="538135" w:themeColor="accent6" w:themeShade="BF"/>
        </w:rPr>
        <w:t xml:space="preserve"> </w:t>
      </w:r>
      <w:r w:rsidRPr="00400A6E">
        <w:rPr>
          <w:rFonts w:asciiTheme="minorHAnsi" w:hAnsiTheme="minorHAnsi" w:eastAsiaTheme="minorHAnsi" w:cstheme="minorBidi"/>
        </w:rPr>
        <w:t>to give a more accurate baseline. With an accurate baseline and monthly data collection the impact of changes can be tracked and calculated.</w:t>
      </w:r>
    </w:p>
    <w:p w:rsidR="00A516C8" w:rsidP="00897F88" w:rsidRDefault="00400A6E" w14:paraId="227E010D" w14:textId="66FD709D">
      <w:pPr>
        <w:pStyle w:val="ListParagraph"/>
        <w:numPr>
          <w:ilvl w:val="0"/>
          <w:numId w:val="36"/>
        </w:numPr>
        <w:jc w:val="both"/>
        <w:rPr>
          <w:rFonts w:asciiTheme="minorHAnsi" w:hAnsiTheme="minorHAnsi" w:eastAsiaTheme="minorHAnsi" w:cstheme="minorBidi"/>
        </w:rPr>
      </w:pPr>
      <w:r w:rsidRPr="00713B6F">
        <w:rPr>
          <w:rFonts w:asciiTheme="minorHAnsi" w:hAnsiTheme="minorHAnsi" w:eastAsiaTheme="minorHAnsi" w:cstheme="minorBidi"/>
          <w:b/>
          <w:bCs/>
          <w:color w:val="538135" w:themeColor="accent6" w:themeShade="BF"/>
        </w:rPr>
        <w:t>Review opportunity to reduce flow through dialysis machines to reduce water usage</w:t>
      </w:r>
      <w:r>
        <w:rPr>
          <w:rFonts w:asciiTheme="minorHAnsi" w:hAnsiTheme="minorHAnsi" w:eastAsiaTheme="minorHAnsi" w:cstheme="minorBidi"/>
          <w:b/>
          <w:bCs/>
          <w:color w:val="538135" w:themeColor="accent6" w:themeShade="BF"/>
        </w:rPr>
        <w:t xml:space="preserve">. </w:t>
      </w:r>
      <w:r w:rsidRPr="00796467">
        <w:rPr>
          <w:rFonts w:asciiTheme="minorHAnsi" w:hAnsiTheme="minorHAnsi" w:eastAsiaTheme="minorHAnsi" w:cstheme="minorBidi"/>
        </w:rPr>
        <w:t>This will require collaboration with the clinical teams providing renal care</w:t>
      </w:r>
      <w:r w:rsidR="006D7EFE">
        <w:rPr>
          <w:rFonts w:asciiTheme="minorHAnsi" w:hAnsiTheme="minorHAnsi" w:eastAsiaTheme="minorHAnsi" w:cstheme="minorBidi"/>
        </w:rPr>
        <w:t>.</w:t>
      </w:r>
    </w:p>
    <w:p w:rsidRPr="00897F88" w:rsidR="00841828" w:rsidP="00841828" w:rsidRDefault="00841828" w14:paraId="6E28F3F5" w14:textId="77777777">
      <w:pPr>
        <w:pStyle w:val="ListParagraph"/>
        <w:ind w:left="1080"/>
        <w:jc w:val="both"/>
        <w:rPr>
          <w:rFonts w:asciiTheme="minorHAnsi" w:hAnsiTheme="minorHAnsi" w:eastAsiaTheme="minorHAnsi" w:cstheme="minorBidi"/>
        </w:rPr>
      </w:pPr>
    </w:p>
    <w:p w:rsidRPr="006D7EFE" w:rsidR="00FA2353" w:rsidP="006D7EFE" w:rsidRDefault="00017645" w14:paraId="3B1788CC" w14:textId="02E74908">
      <w:pPr>
        <w:pStyle w:val="ListParagraph"/>
        <w:ind w:left="375"/>
        <w:rPr>
          <w:b/>
          <w:bCs/>
          <w:color w:val="538135" w:themeColor="accent6" w:themeShade="BF"/>
          <w:sz w:val="24"/>
          <w:szCs w:val="24"/>
        </w:rPr>
      </w:pPr>
      <w:r w:rsidRPr="006D7EFE">
        <w:rPr>
          <w:b/>
          <w:bCs/>
          <w:color w:val="538135" w:themeColor="accent6" w:themeShade="BF"/>
          <w:sz w:val="24"/>
          <w:szCs w:val="24"/>
        </w:rPr>
        <w:t xml:space="preserve">Further recommendations </w:t>
      </w:r>
    </w:p>
    <w:p w:rsidRPr="001C1D28" w:rsidR="003A28D6" w:rsidP="006D7EFE" w:rsidRDefault="002B0727" w14:paraId="4754A845" w14:textId="24D5410B">
      <w:pPr>
        <w:ind w:left="284"/>
        <w:rPr>
          <w:rFonts w:ascii="Calibri" w:hAnsi="Calibri" w:eastAsia="Calibri" w:cs="Times New Roman"/>
        </w:rPr>
      </w:pPr>
      <w:r w:rsidRPr="001C1D28">
        <w:rPr>
          <w:rFonts w:ascii="Calibri" w:hAnsi="Calibri" w:eastAsia="Calibri" w:cs="Times New Roman"/>
        </w:rPr>
        <w:t>During the data collection and staff engagement phase of the projec</w:t>
      </w:r>
      <w:r w:rsidRPr="001C1D28" w:rsidR="00BC45BD">
        <w:rPr>
          <w:rFonts w:ascii="Calibri" w:hAnsi="Calibri" w:eastAsia="Calibri" w:cs="Times New Roman"/>
        </w:rPr>
        <w:t>t</w:t>
      </w:r>
      <w:r w:rsidR="001C1D28">
        <w:rPr>
          <w:rFonts w:ascii="Calibri" w:hAnsi="Calibri" w:eastAsia="Calibri" w:cs="Times New Roman"/>
        </w:rPr>
        <w:t>,</w:t>
      </w:r>
      <w:r w:rsidRPr="001C1D28" w:rsidR="00BC45BD">
        <w:rPr>
          <w:rFonts w:ascii="Calibri" w:hAnsi="Calibri" w:eastAsia="Calibri" w:cs="Times New Roman"/>
        </w:rPr>
        <w:t xml:space="preserve"> patient engagement </w:t>
      </w:r>
      <w:r w:rsidR="001C1D28">
        <w:rPr>
          <w:rFonts w:ascii="Calibri" w:hAnsi="Calibri" w:eastAsia="Calibri" w:cs="Times New Roman"/>
        </w:rPr>
        <w:t>was identified as an area that needed focus. Gaining insight from our patients is key to drive an</w:t>
      </w:r>
      <w:r w:rsidR="00366169">
        <w:rPr>
          <w:rFonts w:ascii="Calibri" w:hAnsi="Calibri" w:eastAsia="Calibri" w:cs="Times New Roman"/>
        </w:rPr>
        <w:t xml:space="preserve">y </w:t>
      </w:r>
      <w:r w:rsidR="001C1D28">
        <w:rPr>
          <w:rFonts w:ascii="Calibri" w:hAnsi="Calibri" w:eastAsia="Calibri" w:cs="Times New Roman"/>
        </w:rPr>
        <w:t xml:space="preserve">social value initiatives that </w:t>
      </w:r>
      <w:r w:rsidR="006D7EFE">
        <w:rPr>
          <w:rFonts w:ascii="Calibri" w:hAnsi="Calibri" w:eastAsia="Calibri" w:cs="Times New Roman"/>
        </w:rPr>
        <w:t>populate the action plan</w:t>
      </w:r>
      <w:r w:rsidR="00366169">
        <w:rPr>
          <w:rFonts w:ascii="Calibri" w:hAnsi="Calibri" w:eastAsia="Calibri" w:cs="Times New Roman"/>
        </w:rPr>
        <w:t>. This also fits with the organisation</w:t>
      </w:r>
      <w:r w:rsidR="002A5DB0">
        <w:rPr>
          <w:rFonts w:ascii="Calibri" w:hAnsi="Calibri" w:eastAsia="Calibri" w:cs="Times New Roman"/>
        </w:rPr>
        <w:t xml:space="preserve">’s </w:t>
      </w:r>
      <w:r w:rsidR="002279A0">
        <w:rPr>
          <w:rFonts w:ascii="Calibri" w:hAnsi="Calibri" w:eastAsia="Calibri" w:cs="Times New Roman"/>
        </w:rPr>
        <w:t>strategic</w:t>
      </w:r>
      <w:r w:rsidR="002A5DB0">
        <w:rPr>
          <w:rFonts w:ascii="Calibri" w:hAnsi="Calibri" w:eastAsia="Calibri" w:cs="Times New Roman"/>
        </w:rPr>
        <w:t xml:space="preserve"> ai</w:t>
      </w:r>
      <w:r w:rsidR="00B128BA">
        <w:rPr>
          <w:rFonts w:ascii="Calibri" w:hAnsi="Calibri" w:eastAsia="Calibri" w:cs="Times New Roman"/>
        </w:rPr>
        <w:t xml:space="preserve">m of providing patient </w:t>
      </w:r>
      <w:r w:rsidR="00792ED4">
        <w:rPr>
          <w:rFonts w:ascii="Calibri" w:hAnsi="Calibri" w:eastAsia="Calibri" w:cs="Times New Roman"/>
        </w:rPr>
        <w:t>centred</w:t>
      </w:r>
      <w:r w:rsidR="00B128BA">
        <w:rPr>
          <w:rFonts w:ascii="Calibri" w:hAnsi="Calibri" w:eastAsia="Calibri" w:cs="Times New Roman"/>
        </w:rPr>
        <w:t xml:space="preserve"> service</w:t>
      </w:r>
      <w:r w:rsidR="00792ED4">
        <w:rPr>
          <w:rFonts w:ascii="Calibri" w:hAnsi="Calibri" w:eastAsia="Calibri" w:cs="Times New Roman"/>
        </w:rPr>
        <w:t xml:space="preserve"> and creating a sustainable organisation. Engaging with patients will also allow the </w:t>
      </w:r>
      <w:r w:rsidR="00A516C8">
        <w:rPr>
          <w:rFonts w:ascii="Calibri" w:hAnsi="Calibri" w:eastAsia="Calibri" w:cs="Times New Roman"/>
        </w:rPr>
        <w:t>“what</w:t>
      </w:r>
      <w:r w:rsidR="00792ED4">
        <w:rPr>
          <w:rFonts w:ascii="Calibri" w:hAnsi="Calibri" w:eastAsia="Calibri" w:cs="Times New Roman"/>
        </w:rPr>
        <w:t xml:space="preserve"> matters to you” to feature in the planning and delivery of </w:t>
      </w:r>
      <w:r w:rsidR="00DE0905">
        <w:rPr>
          <w:rFonts w:ascii="Calibri" w:hAnsi="Calibri" w:eastAsia="Calibri" w:cs="Times New Roman"/>
        </w:rPr>
        <w:t>haemodialysis</w:t>
      </w:r>
      <w:r w:rsidR="00792ED4">
        <w:rPr>
          <w:rFonts w:ascii="Calibri" w:hAnsi="Calibri" w:eastAsia="Calibri" w:cs="Times New Roman"/>
        </w:rPr>
        <w:t xml:space="preserve"> in the future. The recommendation is:</w:t>
      </w:r>
    </w:p>
    <w:p w:rsidR="00DE7C5B" w:rsidP="008B4EAB" w:rsidRDefault="00980E7F" w14:paraId="74020523" w14:textId="41B89186">
      <w:pPr>
        <w:pStyle w:val="ListParagraph"/>
        <w:numPr>
          <w:ilvl w:val="0"/>
          <w:numId w:val="10"/>
        </w:numPr>
        <w:jc w:val="both"/>
        <w:rPr>
          <w:rFonts w:asciiTheme="minorHAnsi" w:hAnsiTheme="minorHAnsi" w:eastAsiaTheme="minorHAnsi" w:cstheme="minorBidi"/>
          <w:b/>
          <w:bCs/>
          <w:color w:val="538135" w:themeColor="accent6" w:themeShade="BF"/>
        </w:rPr>
      </w:pPr>
      <w:r w:rsidRPr="00DE0905">
        <w:rPr>
          <w:rFonts w:asciiTheme="minorHAnsi" w:hAnsiTheme="minorHAnsi" w:eastAsiaTheme="minorHAnsi" w:cstheme="minorBidi"/>
          <w:b/>
          <w:bCs/>
          <w:color w:val="538135" w:themeColor="accent6" w:themeShade="BF"/>
        </w:rPr>
        <w:t>Conduct a patient survey to assess social value and thoughts on sustainable healthcare</w:t>
      </w:r>
      <w:r w:rsidR="00722CA8">
        <w:rPr>
          <w:rFonts w:asciiTheme="minorHAnsi" w:hAnsiTheme="minorHAnsi" w:eastAsiaTheme="minorHAnsi" w:cstheme="minorBidi"/>
          <w:b/>
          <w:bCs/>
          <w:color w:val="538135" w:themeColor="accent6" w:themeShade="BF"/>
        </w:rPr>
        <w:t>.</w:t>
      </w:r>
    </w:p>
    <w:p w:rsidRPr="008B4EAB" w:rsidR="00841828" w:rsidP="00841828" w:rsidRDefault="00841828" w14:paraId="62551A96" w14:textId="77777777">
      <w:pPr>
        <w:pStyle w:val="ListParagraph"/>
        <w:ind w:left="1080"/>
        <w:jc w:val="both"/>
        <w:rPr>
          <w:rFonts w:asciiTheme="minorHAnsi" w:hAnsiTheme="minorHAnsi" w:eastAsiaTheme="minorHAnsi" w:cstheme="minorBidi"/>
          <w:b/>
          <w:bCs/>
          <w:color w:val="538135" w:themeColor="accent6" w:themeShade="BF"/>
        </w:rPr>
      </w:pPr>
    </w:p>
    <w:p w:rsidRPr="00AE0D7B" w:rsidR="00E36A85" w:rsidP="00AE0D7B" w:rsidRDefault="008F1D9E" w14:paraId="6AC340EB" w14:textId="7AED5FBF">
      <w:pPr>
        <w:pStyle w:val="ListParagraph"/>
        <w:numPr>
          <w:ilvl w:val="0"/>
          <w:numId w:val="33"/>
        </w:numPr>
        <w:rPr>
          <w:b/>
          <w:bCs/>
          <w:color w:val="538135" w:themeColor="accent6" w:themeShade="BF"/>
          <w:sz w:val="24"/>
          <w:szCs w:val="24"/>
        </w:rPr>
      </w:pPr>
      <w:r w:rsidRPr="00965522">
        <w:rPr>
          <w:b/>
          <w:bCs/>
          <w:color w:val="538135" w:themeColor="accent6" w:themeShade="BF"/>
          <w:sz w:val="24"/>
          <w:szCs w:val="24"/>
        </w:rPr>
        <w:t xml:space="preserve">Action plan </w:t>
      </w:r>
    </w:p>
    <w:tbl>
      <w:tblPr>
        <w:tblStyle w:val="TableGrid"/>
        <w:tblW w:w="0" w:type="auto"/>
        <w:tblInd w:w="360" w:type="dxa"/>
        <w:tblLook w:val="04A0" w:firstRow="1" w:lastRow="0" w:firstColumn="1" w:lastColumn="0" w:noHBand="0" w:noVBand="1"/>
      </w:tblPr>
      <w:tblGrid>
        <w:gridCol w:w="3463"/>
        <w:gridCol w:w="2551"/>
        <w:gridCol w:w="2126"/>
        <w:gridCol w:w="1696"/>
      </w:tblGrid>
      <w:tr w:rsidR="00CC31F9" w:rsidTr="00DE7C5B" w14:paraId="2D85957A" w14:textId="77777777">
        <w:tc>
          <w:tcPr>
            <w:tcW w:w="3463" w:type="dxa"/>
            <w:shd w:val="clear" w:color="auto" w:fill="538135" w:themeFill="accent6" w:themeFillShade="BF"/>
          </w:tcPr>
          <w:p w:rsidRPr="00CC31F9" w:rsidR="00446F32" w:rsidP="008F1D9E" w:rsidRDefault="00CA5AC0" w14:paraId="75C5CF60" w14:textId="00D86374">
            <w:pPr>
              <w:rPr>
                <w:color w:val="FFFFFF" w:themeColor="background1"/>
                <w:sz w:val="24"/>
                <w:szCs w:val="24"/>
              </w:rPr>
            </w:pPr>
            <w:r w:rsidRPr="00CC31F9">
              <w:rPr>
                <w:color w:val="FFFFFF" w:themeColor="background1"/>
                <w:sz w:val="24"/>
                <w:szCs w:val="24"/>
              </w:rPr>
              <w:t>Item</w:t>
            </w:r>
          </w:p>
        </w:tc>
        <w:tc>
          <w:tcPr>
            <w:tcW w:w="2551" w:type="dxa"/>
            <w:shd w:val="clear" w:color="auto" w:fill="538135" w:themeFill="accent6" w:themeFillShade="BF"/>
          </w:tcPr>
          <w:p w:rsidRPr="00CC31F9" w:rsidR="00446F32" w:rsidP="008F1D9E" w:rsidRDefault="00CA5AC0" w14:paraId="40B1945B" w14:textId="417AF8FF">
            <w:pPr>
              <w:rPr>
                <w:color w:val="FFFFFF" w:themeColor="background1"/>
                <w:sz w:val="24"/>
                <w:szCs w:val="24"/>
              </w:rPr>
            </w:pPr>
            <w:r w:rsidRPr="00CC31F9">
              <w:rPr>
                <w:color w:val="FFFFFF" w:themeColor="background1"/>
                <w:sz w:val="24"/>
                <w:szCs w:val="24"/>
              </w:rPr>
              <w:t>Action</w:t>
            </w:r>
          </w:p>
        </w:tc>
        <w:tc>
          <w:tcPr>
            <w:tcW w:w="2126" w:type="dxa"/>
            <w:shd w:val="clear" w:color="auto" w:fill="538135" w:themeFill="accent6" w:themeFillShade="BF"/>
          </w:tcPr>
          <w:p w:rsidRPr="00CC31F9" w:rsidR="00446F32" w:rsidP="008F1D9E" w:rsidRDefault="00CC31F9" w14:paraId="779531E9" w14:textId="41270CB2">
            <w:pPr>
              <w:rPr>
                <w:color w:val="FFFFFF" w:themeColor="background1"/>
                <w:sz w:val="24"/>
                <w:szCs w:val="24"/>
              </w:rPr>
            </w:pPr>
            <w:r w:rsidRPr="00CC31F9">
              <w:rPr>
                <w:color w:val="FFFFFF" w:themeColor="background1"/>
                <w:sz w:val="24"/>
                <w:szCs w:val="24"/>
              </w:rPr>
              <w:t>Who</w:t>
            </w:r>
          </w:p>
        </w:tc>
        <w:tc>
          <w:tcPr>
            <w:tcW w:w="1696" w:type="dxa"/>
            <w:shd w:val="clear" w:color="auto" w:fill="538135" w:themeFill="accent6" w:themeFillShade="BF"/>
          </w:tcPr>
          <w:p w:rsidRPr="00CC31F9" w:rsidR="00446F32" w:rsidP="008F1D9E" w:rsidRDefault="00CC31F9" w14:paraId="31A8A318" w14:textId="6387434F">
            <w:pPr>
              <w:rPr>
                <w:color w:val="FFFFFF" w:themeColor="background1"/>
                <w:sz w:val="24"/>
                <w:szCs w:val="24"/>
              </w:rPr>
            </w:pPr>
            <w:r w:rsidRPr="00CC31F9">
              <w:rPr>
                <w:color w:val="FFFFFF" w:themeColor="background1"/>
                <w:sz w:val="24"/>
                <w:szCs w:val="24"/>
              </w:rPr>
              <w:t>Timescale</w:t>
            </w:r>
          </w:p>
        </w:tc>
      </w:tr>
      <w:tr w:rsidR="00CC31F9" w:rsidTr="00DE7C5B" w14:paraId="5C09515B" w14:textId="77777777">
        <w:tc>
          <w:tcPr>
            <w:tcW w:w="3463" w:type="dxa"/>
          </w:tcPr>
          <w:p w:rsidRPr="00CC31F9" w:rsidR="00446F32" w:rsidP="008F1D9E" w:rsidRDefault="00D85699" w14:paraId="78C44747" w14:textId="7F4B4214">
            <w:pPr>
              <w:rPr>
                <w:sz w:val="20"/>
                <w:szCs w:val="20"/>
              </w:rPr>
            </w:pPr>
            <w:r>
              <w:rPr>
                <w:sz w:val="20"/>
                <w:szCs w:val="20"/>
              </w:rPr>
              <w:t xml:space="preserve">Deep dive into </w:t>
            </w:r>
            <w:r w:rsidRPr="00CC31F9" w:rsidR="00CA5AC0">
              <w:rPr>
                <w:sz w:val="20"/>
                <w:szCs w:val="20"/>
              </w:rPr>
              <w:t>transport arrangements for patients</w:t>
            </w:r>
          </w:p>
        </w:tc>
        <w:tc>
          <w:tcPr>
            <w:tcW w:w="2551" w:type="dxa"/>
          </w:tcPr>
          <w:p w:rsidRPr="00CC31F9" w:rsidR="00446F32" w:rsidP="008F1D9E" w:rsidRDefault="00694AB2" w14:paraId="1CEF6675" w14:textId="027F09EF">
            <w:pPr>
              <w:rPr>
                <w:sz w:val="20"/>
                <w:szCs w:val="20"/>
              </w:rPr>
            </w:pPr>
            <w:r>
              <w:rPr>
                <w:sz w:val="20"/>
                <w:szCs w:val="20"/>
              </w:rPr>
              <w:t>Undertake detailed analysis of patient transport arrangements</w:t>
            </w:r>
          </w:p>
        </w:tc>
        <w:tc>
          <w:tcPr>
            <w:tcW w:w="2126" w:type="dxa"/>
          </w:tcPr>
          <w:p w:rsidR="00446F32" w:rsidP="008F1D9E" w:rsidRDefault="00694AB2" w14:paraId="316FCE26" w14:textId="77777777">
            <w:pPr>
              <w:rPr>
                <w:sz w:val="20"/>
                <w:szCs w:val="20"/>
              </w:rPr>
            </w:pPr>
            <w:r>
              <w:rPr>
                <w:sz w:val="20"/>
                <w:szCs w:val="20"/>
              </w:rPr>
              <w:t>Project leads</w:t>
            </w:r>
          </w:p>
          <w:p w:rsidRPr="00CC31F9" w:rsidR="00AE3A01" w:rsidP="008F1D9E" w:rsidRDefault="00AE3A01" w14:paraId="273A4D21" w14:textId="047CE5FC">
            <w:pPr>
              <w:rPr>
                <w:sz w:val="20"/>
                <w:szCs w:val="20"/>
              </w:rPr>
            </w:pPr>
            <w:r>
              <w:rPr>
                <w:sz w:val="20"/>
                <w:szCs w:val="20"/>
              </w:rPr>
              <w:t>Travel manager</w:t>
            </w:r>
          </w:p>
        </w:tc>
        <w:tc>
          <w:tcPr>
            <w:tcW w:w="1696" w:type="dxa"/>
          </w:tcPr>
          <w:p w:rsidRPr="00CC31F9" w:rsidR="00446F32" w:rsidP="008F1D9E" w:rsidRDefault="00EF3AC4" w14:paraId="02ADAE6E" w14:textId="50849BA7">
            <w:pPr>
              <w:rPr>
                <w:sz w:val="20"/>
                <w:szCs w:val="20"/>
              </w:rPr>
            </w:pPr>
            <w:r>
              <w:rPr>
                <w:sz w:val="20"/>
                <w:szCs w:val="20"/>
              </w:rPr>
              <w:t>6</w:t>
            </w:r>
            <w:r w:rsidR="00AE3A01">
              <w:rPr>
                <w:sz w:val="20"/>
                <w:szCs w:val="20"/>
              </w:rPr>
              <w:t xml:space="preserve"> months</w:t>
            </w:r>
          </w:p>
        </w:tc>
      </w:tr>
      <w:tr w:rsidR="00CC31F9" w:rsidTr="00DE7C5B" w14:paraId="042620E4" w14:textId="77777777">
        <w:tc>
          <w:tcPr>
            <w:tcW w:w="3463" w:type="dxa"/>
          </w:tcPr>
          <w:p w:rsidRPr="00CC31F9" w:rsidR="00446F32" w:rsidP="008F1D9E" w:rsidRDefault="007D3533" w14:paraId="6C82EE05" w14:textId="0EB22B16">
            <w:pPr>
              <w:rPr>
                <w:sz w:val="20"/>
                <w:szCs w:val="20"/>
              </w:rPr>
            </w:pPr>
            <w:r w:rsidRPr="00CD4CE3">
              <w:rPr>
                <w:sz w:val="20"/>
                <w:szCs w:val="20"/>
              </w:rPr>
              <w:t>Work with network to see if there is opportunity to move patients closer to home</w:t>
            </w:r>
          </w:p>
        </w:tc>
        <w:tc>
          <w:tcPr>
            <w:tcW w:w="2551" w:type="dxa"/>
          </w:tcPr>
          <w:p w:rsidRPr="00CC31F9" w:rsidR="00446F32" w:rsidP="008F1D9E" w:rsidRDefault="00694AB2" w14:paraId="75F21E1D" w14:textId="07C52B43">
            <w:pPr>
              <w:rPr>
                <w:sz w:val="20"/>
                <w:szCs w:val="20"/>
              </w:rPr>
            </w:pPr>
            <w:r>
              <w:rPr>
                <w:sz w:val="20"/>
                <w:szCs w:val="20"/>
              </w:rPr>
              <w:t xml:space="preserve">Collaborate with the </w:t>
            </w:r>
            <w:r w:rsidR="00A339F4">
              <w:rPr>
                <w:sz w:val="20"/>
                <w:szCs w:val="20"/>
              </w:rPr>
              <w:t>TRUNC HD project and network leads</w:t>
            </w:r>
          </w:p>
        </w:tc>
        <w:tc>
          <w:tcPr>
            <w:tcW w:w="2126" w:type="dxa"/>
          </w:tcPr>
          <w:p w:rsidR="00446F32" w:rsidP="008F1D9E" w:rsidRDefault="001719A1" w14:paraId="66D386A3" w14:textId="77777777">
            <w:pPr>
              <w:rPr>
                <w:sz w:val="20"/>
                <w:szCs w:val="20"/>
              </w:rPr>
            </w:pPr>
            <w:r>
              <w:rPr>
                <w:sz w:val="20"/>
                <w:szCs w:val="20"/>
              </w:rPr>
              <w:t>Project leads</w:t>
            </w:r>
          </w:p>
          <w:p w:rsidRPr="00CC31F9" w:rsidR="001719A1" w:rsidP="008F1D9E" w:rsidRDefault="001719A1" w14:paraId="647A38BE" w14:textId="0DCDFD2C">
            <w:pPr>
              <w:rPr>
                <w:sz w:val="20"/>
                <w:szCs w:val="20"/>
              </w:rPr>
            </w:pPr>
            <w:r>
              <w:rPr>
                <w:sz w:val="20"/>
                <w:szCs w:val="20"/>
              </w:rPr>
              <w:t>Renal network</w:t>
            </w:r>
          </w:p>
        </w:tc>
        <w:tc>
          <w:tcPr>
            <w:tcW w:w="1696" w:type="dxa"/>
          </w:tcPr>
          <w:p w:rsidRPr="00CC31F9" w:rsidR="00446F32" w:rsidP="008F1D9E" w:rsidRDefault="00AE3A01" w14:paraId="3FDFB4C1" w14:textId="376BA1A5">
            <w:pPr>
              <w:rPr>
                <w:sz w:val="20"/>
                <w:szCs w:val="20"/>
              </w:rPr>
            </w:pPr>
            <w:r>
              <w:rPr>
                <w:sz w:val="20"/>
                <w:szCs w:val="20"/>
              </w:rPr>
              <w:t>12 months</w:t>
            </w:r>
          </w:p>
        </w:tc>
      </w:tr>
      <w:tr w:rsidR="00CC31F9" w:rsidTr="00DE7C5B" w14:paraId="7B025C36" w14:textId="77777777">
        <w:tc>
          <w:tcPr>
            <w:tcW w:w="3463" w:type="dxa"/>
          </w:tcPr>
          <w:p w:rsidRPr="00CC31F9" w:rsidR="00446F32" w:rsidP="008F1D9E" w:rsidRDefault="007D3533" w14:paraId="45C876F6" w14:textId="20CC597B">
            <w:pPr>
              <w:rPr>
                <w:sz w:val="20"/>
                <w:szCs w:val="20"/>
              </w:rPr>
            </w:pPr>
            <w:r w:rsidRPr="00CD4CE3">
              <w:rPr>
                <w:sz w:val="20"/>
                <w:szCs w:val="20"/>
              </w:rPr>
              <w:t>Review DNA rates and reasons</w:t>
            </w:r>
          </w:p>
        </w:tc>
        <w:tc>
          <w:tcPr>
            <w:tcW w:w="2551" w:type="dxa"/>
          </w:tcPr>
          <w:p w:rsidRPr="00CC31F9" w:rsidR="00446F32" w:rsidP="008F1D9E" w:rsidRDefault="00B13F94" w14:paraId="368894AF" w14:textId="57CB89E2">
            <w:pPr>
              <w:rPr>
                <w:sz w:val="20"/>
                <w:szCs w:val="20"/>
              </w:rPr>
            </w:pPr>
            <w:r>
              <w:rPr>
                <w:sz w:val="20"/>
                <w:szCs w:val="20"/>
              </w:rPr>
              <w:t>Record and analyse reasons for patient DNA</w:t>
            </w:r>
          </w:p>
        </w:tc>
        <w:tc>
          <w:tcPr>
            <w:tcW w:w="2126" w:type="dxa"/>
          </w:tcPr>
          <w:p w:rsidRPr="00CC31F9" w:rsidR="00446F32" w:rsidP="008F1D9E" w:rsidRDefault="00A339F4" w14:paraId="30BCC4D5" w14:textId="095ABEF4">
            <w:pPr>
              <w:rPr>
                <w:sz w:val="20"/>
                <w:szCs w:val="20"/>
              </w:rPr>
            </w:pPr>
            <w:r>
              <w:rPr>
                <w:sz w:val="20"/>
                <w:szCs w:val="20"/>
              </w:rPr>
              <w:t>Clinical leads</w:t>
            </w:r>
          </w:p>
        </w:tc>
        <w:tc>
          <w:tcPr>
            <w:tcW w:w="1696" w:type="dxa"/>
          </w:tcPr>
          <w:p w:rsidRPr="00CC31F9" w:rsidR="00446F32" w:rsidP="008F1D9E" w:rsidRDefault="00AE3A01" w14:paraId="54D7EF40" w14:textId="39BFEF0C">
            <w:pPr>
              <w:rPr>
                <w:sz w:val="20"/>
                <w:szCs w:val="20"/>
              </w:rPr>
            </w:pPr>
            <w:r>
              <w:rPr>
                <w:sz w:val="20"/>
                <w:szCs w:val="20"/>
              </w:rPr>
              <w:t>6 months</w:t>
            </w:r>
          </w:p>
        </w:tc>
      </w:tr>
      <w:tr w:rsidR="007D3533" w:rsidTr="00DE7C5B" w14:paraId="1A684D89" w14:textId="77777777">
        <w:tc>
          <w:tcPr>
            <w:tcW w:w="3463" w:type="dxa"/>
          </w:tcPr>
          <w:p w:rsidRPr="00CD4CE3" w:rsidR="007D3533" w:rsidP="008F1D9E" w:rsidRDefault="005A7FF4" w14:paraId="3372EE09" w14:textId="70403B0C">
            <w:pPr>
              <w:rPr>
                <w:sz w:val="20"/>
                <w:szCs w:val="20"/>
              </w:rPr>
            </w:pPr>
            <w:r>
              <w:rPr>
                <w:sz w:val="20"/>
                <w:szCs w:val="20"/>
              </w:rPr>
              <w:t>Specific Renal Unit staff travel survey</w:t>
            </w:r>
          </w:p>
        </w:tc>
        <w:tc>
          <w:tcPr>
            <w:tcW w:w="2551" w:type="dxa"/>
          </w:tcPr>
          <w:p w:rsidRPr="00CC31F9" w:rsidR="007D3533" w:rsidP="008F1D9E" w:rsidRDefault="00E46DD9" w14:paraId="5B229314" w14:textId="668A9570">
            <w:pPr>
              <w:rPr>
                <w:sz w:val="20"/>
                <w:szCs w:val="20"/>
              </w:rPr>
            </w:pPr>
            <w:r>
              <w:rPr>
                <w:sz w:val="20"/>
                <w:szCs w:val="20"/>
              </w:rPr>
              <w:t xml:space="preserve">Undertake specific staff travel survey for </w:t>
            </w:r>
            <w:proofErr w:type="spellStart"/>
            <w:r>
              <w:rPr>
                <w:sz w:val="20"/>
                <w:szCs w:val="20"/>
              </w:rPr>
              <w:t>renal</w:t>
            </w:r>
            <w:proofErr w:type="spellEnd"/>
            <w:r>
              <w:rPr>
                <w:sz w:val="20"/>
                <w:szCs w:val="20"/>
              </w:rPr>
              <w:t xml:space="preserve"> units</w:t>
            </w:r>
          </w:p>
        </w:tc>
        <w:tc>
          <w:tcPr>
            <w:tcW w:w="2126" w:type="dxa"/>
          </w:tcPr>
          <w:p w:rsidRPr="00CC31F9" w:rsidR="007D3533" w:rsidP="008F1D9E" w:rsidRDefault="00AE3A01" w14:paraId="58714EDD" w14:textId="29F63632">
            <w:pPr>
              <w:rPr>
                <w:sz w:val="20"/>
                <w:szCs w:val="20"/>
              </w:rPr>
            </w:pPr>
            <w:r>
              <w:rPr>
                <w:sz w:val="20"/>
                <w:szCs w:val="20"/>
              </w:rPr>
              <w:t>T</w:t>
            </w:r>
            <w:r w:rsidR="00B13F94">
              <w:rPr>
                <w:sz w:val="20"/>
                <w:szCs w:val="20"/>
              </w:rPr>
              <w:t>ra</w:t>
            </w:r>
            <w:r w:rsidR="00E46DD9">
              <w:rPr>
                <w:sz w:val="20"/>
                <w:szCs w:val="20"/>
              </w:rPr>
              <w:t>vel manager</w:t>
            </w:r>
          </w:p>
        </w:tc>
        <w:tc>
          <w:tcPr>
            <w:tcW w:w="1696" w:type="dxa"/>
          </w:tcPr>
          <w:p w:rsidRPr="00CC31F9" w:rsidR="007D3533" w:rsidP="008F1D9E" w:rsidRDefault="00AE3A01" w14:paraId="0DEB6402" w14:textId="335EFB0F">
            <w:pPr>
              <w:rPr>
                <w:sz w:val="20"/>
                <w:szCs w:val="20"/>
              </w:rPr>
            </w:pPr>
            <w:r>
              <w:rPr>
                <w:sz w:val="20"/>
                <w:szCs w:val="20"/>
              </w:rPr>
              <w:t>6 months</w:t>
            </w:r>
          </w:p>
        </w:tc>
      </w:tr>
      <w:tr w:rsidR="008F6385" w:rsidTr="00DE7C5B" w14:paraId="69C9BA60" w14:textId="77777777">
        <w:tc>
          <w:tcPr>
            <w:tcW w:w="3463" w:type="dxa"/>
          </w:tcPr>
          <w:p w:rsidR="008F6385" w:rsidP="008F6385" w:rsidRDefault="008F6385" w14:paraId="312D9EC5" w14:textId="1ABE4970">
            <w:pPr>
              <w:rPr>
                <w:sz w:val="20"/>
                <w:szCs w:val="20"/>
              </w:rPr>
            </w:pPr>
            <w:r>
              <w:rPr>
                <w:sz w:val="20"/>
                <w:szCs w:val="20"/>
              </w:rPr>
              <w:t>Work with SHC to improve toolkit metrics</w:t>
            </w:r>
          </w:p>
        </w:tc>
        <w:tc>
          <w:tcPr>
            <w:tcW w:w="2551" w:type="dxa"/>
          </w:tcPr>
          <w:p w:rsidRPr="00CC31F9" w:rsidR="008F6385" w:rsidP="008F6385" w:rsidRDefault="008F6385" w14:paraId="3E30B4FF" w14:textId="28115FB1">
            <w:pPr>
              <w:rPr>
                <w:sz w:val="20"/>
                <w:szCs w:val="20"/>
              </w:rPr>
            </w:pPr>
            <w:r>
              <w:rPr>
                <w:sz w:val="20"/>
                <w:szCs w:val="20"/>
              </w:rPr>
              <w:t>Collaborate with SHC to improve data/ baseline measurements</w:t>
            </w:r>
          </w:p>
        </w:tc>
        <w:tc>
          <w:tcPr>
            <w:tcW w:w="2126" w:type="dxa"/>
          </w:tcPr>
          <w:p w:rsidRPr="00CC31F9" w:rsidR="008F6385" w:rsidP="008F6385" w:rsidRDefault="008F6385" w14:paraId="6D9C74C6" w14:textId="419ADF8C">
            <w:pPr>
              <w:rPr>
                <w:sz w:val="20"/>
                <w:szCs w:val="20"/>
              </w:rPr>
            </w:pPr>
            <w:r>
              <w:rPr>
                <w:sz w:val="20"/>
                <w:szCs w:val="20"/>
              </w:rPr>
              <w:t>Project leads</w:t>
            </w:r>
          </w:p>
        </w:tc>
        <w:tc>
          <w:tcPr>
            <w:tcW w:w="1696" w:type="dxa"/>
          </w:tcPr>
          <w:p w:rsidRPr="00CC31F9" w:rsidR="008F6385" w:rsidP="008F6385" w:rsidRDefault="001A6F8A" w14:paraId="2638BD7A" w14:textId="663FF5E4">
            <w:pPr>
              <w:rPr>
                <w:sz w:val="20"/>
                <w:szCs w:val="20"/>
              </w:rPr>
            </w:pPr>
            <w:r>
              <w:rPr>
                <w:sz w:val="20"/>
                <w:szCs w:val="20"/>
              </w:rPr>
              <w:t>6 months</w:t>
            </w:r>
          </w:p>
        </w:tc>
      </w:tr>
      <w:tr w:rsidR="008F6385" w:rsidTr="00DE7C5B" w14:paraId="726308C7" w14:textId="77777777">
        <w:tc>
          <w:tcPr>
            <w:tcW w:w="3463" w:type="dxa"/>
          </w:tcPr>
          <w:p w:rsidR="008F6385" w:rsidP="008F6385" w:rsidRDefault="003C0748" w14:paraId="7E7216AE" w14:textId="6A977D2C">
            <w:pPr>
              <w:rPr>
                <w:sz w:val="20"/>
                <w:szCs w:val="20"/>
              </w:rPr>
            </w:pPr>
            <w:r>
              <w:rPr>
                <w:sz w:val="20"/>
                <w:szCs w:val="20"/>
              </w:rPr>
              <w:t>Evaluation</w:t>
            </w:r>
            <w:r w:rsidR="008F6385">
              <w:rPr>
                <w:sz w:val="20"/>
                <w:szCs w:val="20"/>
              </w:rPr>
              <w:t xml:space="preserve"> of manufacture, packaging, and distribution of consumables &amp; Pharmaceuticals</w:t>
            </w:r>
          </w:p>
        </w:tc>
        <w:tc>
          <w:tcPr>
            <w:tcW w:w="2551" w:type="dxa"/>
          </w:tcPr>
          <w:p w:rsidRPr="00CC31F9" w:rsidR="008F6385" w:rsidP="008F6385" w:rsidRDefault="008F6385" w14:paraId="79DD1010" w14:textId="219E7D2E">
            <w:pPr>
              <w:rPr>
                <w:sz w:val="20"/>
                <w:szCs w:val="20"/>
              </w:rPr>
            </w:pPr>
            <w:r>
              <w:rPr>
                <w:sz w:val="20"/>
                <w:szCs w:val="20"/>
              </w:rPr>
              <w:t xml:space="preserve">Collaborate with procurement and suppliers </w:t>
            </w:r>
            <w:r w:rsidR="002122F0">
              <w:rPr>
                <w:sz w:val="20"/>
                <w:szCs w:val="20"/>
              </w:rPr>
              <w:t xml:space="preserve">to undertake life cycle </w:t>
            </w:r>
            <w:r w:rsidR="00B852C4">
              <w:rPr>
                <w:sz w:val="20"/>
                <w:szCs w:val="20"/>
              </w:rPr>
              <w:t>assessment</w:t>
            </w:r>
            <w:r w:rsidR="002122F0">
              <w:rPr>
                <w:sz w:val="20"/>
                <w:szCs w:val="20"/>
              </w:rPr>
              <w:t xml:space="preserve"> and lower carbon alternatives</w:t>
            </w:r>
          </w:p>
        </w:tc>
        <w:tc>
          <w:tcPr>
            <w:tcW w:w="2126" w:type="dxa"/>
          </w:tcPr>
          <w:p w:rsidR="008F6385" w:rsidP="008F6385" w:rsidRDefault="002122F0" w14:paraId="03ECA409" w14:textId="77777777">
            <w:pPr>
              <w:rPr>
                <w:sz w:val="20"/>
                <w:szCs w:val="20"/>
              </w:rPr>
            </w:pPr>
            <w:r>
              <w:rPr>
                <w:sz w:val="20"/>
                <w:szCs w:val="20"/>
              </w:rPr>
              <w:t>Project leads</w:t>
            </w:r>
          </w:p>
          <w:p w:rsidRPr="00CC31F9" w:rsidR="002122F0" w:rsidP="008F6385" w:rsidRDefault="002122F0" w14:paraId="30BE2395" w14:textId="12ACBCD9">
            <w:pPr>
              <w:rPr>
                <w:sz w:val="20"/>
                <w:szCs w:val="20"/>
              </w:rPr>
            </w:pPr>
            <w:r>
              <w:rPr>
                <w:sz w:val="20"/>
                <w:szCs w:val="20"/>
              </w:rPr>
              <w:t>Procurement</w:t>
            </w:r>
          </w:p>
        </w:tc>
        <w:tc>
          <w:tcPr>
            <w:tcW w:w="1696" w:type="dxa"/>
          </w:tcPr>
          <w:p w:rsidRPr="00CC31F9" w:rsidR="008F6385" w:rsidP="008F6385" w:rsidRDefault="001A6F8A" w14:paraId="0967E905" w14:textId="1E58957B">
            <w:pPr>
              <w:rPr>
                <w:sz w:val="20"/>
                <w:szCs w:val="20"/>
              </w:rPr>
            </w:pPr>
            <w:r>
              <w:rPr>
                <w:sz w:val="20"/>
                <w:szCs w:val="20"/>
              </w:rPr>
              <w:t>12 months</w:t>
            </w:r>
          </w:p>
        </w:tc>
      </w:tr>
      <w:tr w:rsidR="008F6385" w:rsidTr="00DE7C5B" w14:paraId="64BA0DB9" w14:textId="77777777">
        <w:tc>
          <w:tcPr>
            <w:tcW w:w="3463" w:type="dxa"/>
          </w:tcPr>
          <w:p w:rsidRPr="00CD4CE3" w:rsidR="008F6385" w:rsidP="008F6385" w:rsidRDefault="008F6385" w14:paraId="452B325B" w14:textId="2E3C3506">
            <w:pPr>
              <w:rPr>
                <w:sz w:val="20"/>
                <w:szCs w:val="20"/>
              </w:rPr>
            </w:pPr>
            <w:r>
              <w:rPr>
                <w:sz w:val="20"/>
                <w:szCs w:val="20"/>
              </w:rPr>
              <w:t xml:space="preserve">Engage with </w:t>
            </w:r>
            <w:r w:rsidR="00084F5D">
              <w:rPr>
                <w:sz w:val="20"/>
                <w:szCs w:val="20"/>
              </w:rPr>
              <w:t>E</w:t>
            </w:r>
            <w:r>
              <w:rPr>
                <w:sz w:val="20"/>
                <w:szCs w:val="20"/>
              </w:rPr>
              <w:t>states to assess whether metering can be undertaken for energy and water use with monthly reporting</w:t>
            </w:r>
          </w:p>
        </w:tc>
        <w:tc>
          <w:tcPr>
            <w:tcW w:w="2551" w:type="dxa"/>
          </w:tcPr>
          <w:p w:rsidRPr="00CC31F9" w:rsidR="008F6385" w:rsidP="008F6385" w:rsidRDefault="008F6385" w14:paraId="2537B297" w14:textId="2524FA1C">
            <w:pPr>
              <w:rPr>
                <w:sz w:val="20"/>
                <w:szCs w:val="20"/>
              </w:rPr>
            </w:pPr>
            <w:r>
              <w:rPr>
                <w:sz w:val="20"/>
                <w:szCs w:val="20"/>
              </w:rPr>
              <w:t>Assess possibility of metering and monthly reports with estates</w:t>
            </w:r>
          </w:p>
        </w:tc>
        <w:tc>
          <w:tcPr>
            <w:tcW w:w="2126" w:type="dxa"/>
          </w:tcPr>
          <w:p w:rsidR="008F6385" w:rsidP="008F6385" w:rsidRDefault="002122F0" w14:paraId="173839C9" w14:textId="77777777">
            <w:pPr>
              <w:rPr>
                <w:sz w:val="20"/>
                <w:szCs w:val="20"/>
              </w:rPr>
            </w:pPr>
            <w:r>
              <w:rPr>
                <w:sz w:val="20"/>
                <w:szCs w:val="20"/>
              </w:rPr>
              <w:t>Project leads</w:t>
            </w:r>
          </w:p>
          <w:p w:rsidRPr="00CC31F9" w:rsidR="002122F0" w:rsidP="008F6385" w:rsidRDefault="002122F0" w14:paraId="64CB030D" w14:textId="13A03810">
            <w:pPr>
              <w:rPr>
                <w:sz w:val="20"/>
                <w:szCs w:val="20"/>
              </w:rPr>
            </w:pPr>
            <w:r>
              <w:rPr>
                <w:sz w:val="20"/>
                <w:szCs w:val="20"/>
              </w:rPr>
              <w:t>Estates</w:t>
            </w:r>
          </w:p>
        </w:tc>
        <w:tc>
          <w:tcPr>
            <w:tcW w:w="1696" w:type="dxa"/>
          </w:tcPr>
          <w:p w:rsidRPr="00CC31F9" w:rsidR="008F6385" w:rsidP="008F6385" w:rsidRDefault="00052927" w14:paraId="5B40EC67" w14:textId="76954453">
            <w:pPr>
              <w:rPr>
                <w:sz w:val="20"/>
                <w:szCs w:val="20"/>
              </w:rPr>
            </w:pPr>
            <w:r>
              <w:rPr>
                <w:sz w:val="20"/>
                <w:szCs w:val="20"/>
              </w:rPr>
              <w:t>6</w:t>
            </w:r>
            <w:r w:rsidR="001A6F8A">
              <w:rPr>
                <w:sz w:val="20"/>
                <w:szCs w:val="20"/>
              </w:rPr>
              <w:t xml:space="preserve"> months</w:t>
            </w:r>
          </w:p>
        </w:tc>
      </w:tr>
      <w:tr w:rsidR="008F6385" w:rsidTr="00DE7C5B" w14:paraId="77DDE43D" w14:textId="77777777">
        <w:tc>
          <w:tcPr>
            <w:tcW w:w="3463" w:type="dxa"/>
          </w:tcPr>
          <w:p w:rsidR="008F6385" w:rsidP="008F6385" w:rsidRDefault="008F6385" w14:paraId="47FECF64" w14:textId="03310BD6">
            <w:pPr>
              <w:rPr>
                <w:sz w:val="20"/>
                <w:szCs w:val="20"/>
              </w:rPr>
            </w:pPr>
            <w:r>
              <w:rPr>
                <w:sz w:val="20"/>
                <w:szCs w:val="20"/>
              </w:rPr>
              <w:t>Improve waste streams and introduce recycling</w:t>
            </w:r>
          </w:p>
        </w:tc>
        <w:tc>
          <w:tcPr>
            <w:tcW w:w="2551" w:type="dxa"/>
          </w:tcPr>
          <w:p w:rsidRPr="00CC31F9" w:rsidR="008F6385" w:rsidP="008F6385" w:rsidRDefault="008F6385" w14:paraId="1566FE61" w14:textId="41AA5994">
            <w:pPr>
              <w:rPr>
                <w:sz w:val="20"/>
                <w:szCs w:val="20"/>
              </w:rPr>
            </w:pPr>
            <w:r>
              <w:rPr>
                <w:sz w:val="20"/>
                <w:szCs w:val="20"/>
              </w:rPr>
              <w:t>Waste stream to be agreed, implement “bin to bed”</w:t>
            </w:r>
          </w:p>
        </w:tc>
        <w:tc>
          <w:tcPr>
            <w:tcW w:w="2126" w:type="dxa"/>
          </w:tcPr>
          <w:p w:rsidRPr="00CC31F9" w:rsidR="008F6385" w:rsidP="008F6385" w:rsidRDefault="008F6385" w14:paraId="2B399AEB" w14:textId="72B3E186">
            <w:pPr>
              <w:rPr>
                <w:sz w:val="20"/>
                <w:szCs w:val="20"/>
              </w:rPr>
            </w:pPr>
            <w:r>
              <w:rPr>
                <w:sz w:val="20"/>
                <w:szCs w:val="20"/>
              </w:rPr>
              <w:t>Renal matrons/ wards sisters and clinical staff</w:t>
            </w:r>
          </w:p>
        </w:tc>
        <w:tc>
          <w:tcPr>
            <w:tcW w:w="1696" w:type="dxa"/>
          </w:tcPr>
          <w:p w:rsidRPr="00CC31F9" w:rsidR="008F6385" w:rsidP="008F6385" w:rsidRDefault="001A6F8A" w14:paraId="5BF8EE61" w14:textId="3462D047">
            <w:pPr>
              <w:rPr>
                <w:sz w:val="20"/>
                <w:szCs w:val="20"/>
              </w:rPr>
            </w:pPr>
            <w:r>
              <w:rPr>
                <w:sz w:val="20"/>
                <w:szCs w:val="20"/>
              </w:rPr>
              <w:t>3 months</w:t>
            </w:r>
          </w:p>
        </w:tc>
      </w:tr>
      <w:tr w:rsidR="008F6385" w:rsidTr="00DE7C5B" w14:paraId="67D00DDB" w14:textId="77777777">
        <w:tc>
          <w:tcPr>
            <w:tcW w:w="3463" w:type="dxa"/>
          </w:tcPr>
          <w:p w:rsidR="008F6385" w:rsidP="008F6385" w:rsidRDefault="008F6385" w14:paraId="5F4D8F8E" w14:textId="3EFAD8A2">
            <w:pPr>
              <w:rPr>
                <w:sz w:val="20"/>
                <w:szCs w:val="20"/>
              </w:rPr>
            </w:pPr>
            <w:r>
              <w:rPr>
                <w:sz w:val="20"/>
                <w:szCs w:val="20"/>
              </w:rPr>
              <w:t>Review opportunity to reduce flow through dialysis machine to reduce water usage</w:t>
            </w:r>
          </w:p>
        </w:tc>
        <w:tc>
          <w:tcPr>
            <w:tcW w:w="2551" w:type="dxa"/>
          </w:tcPr>
          <w:p w:rsidRPr="00CC31F9" w:rsidR="008F6385" w:rsidP="008F6385" w:rsidRDefault="008F6385" w14:paraId="3D892D9A" w14:textId="3C341163">
            <w:pPr>
              <w:rPr>
                <w:sz w:val="20"/>
                <w:szCs w:val="20"/>
              </w:rPr>
            </w:pPr>
            <w:r>
              <w:rPr>
                <w:sz w:val="20"/>
                <w:szCs w:val="20"/>
              </w:rPr>
              <w:t>Clinical team to assess feasibility</w:t>
            </w:r>
          </w:p>
        </w:tc>
        <w:tc>
          <w:tcPr>
            <w:tcW w:w="2126" w:type="dxa"/>
          </w:tcPr>
          <w:p w:rsidRPr="00CC31F9" w:rsidR="008F6385" w:rsidP="008F6385" w:rsidRDefault="008F6385" w14:paraId="52A73FD1" w14:textId="0022D0FE">
            <w:pPr>
              <w:rPr>
                <w:sz w:val="20"/>
                <w:szCs w:val="20"/>
              </w:rPr>
            </w:pPr>
            <w:r>
              <w:rPr>
                <w:sz w:val="20"/>
                <w:szCs w:val="20"/>
              </w:rPr>
              <w:t>Clinical renal team</w:t>
            </w:r>
          </w:p>
        </w:tc>
        <w:tc>
          <w:tcPr>
            <w:tcW w:w="1696" w:type="dxa"/>
          </w:tcPr>
          <w:p w:rsidRPr="00CC31F9" w:rsidR="008F6385" w:rsidP="008F6385" w:rsidRDefault="001A6F8A" w14:paraId="75480AB7" w14:textId="61EAD722">
            <w:pPr>
              <w:rPr>
                <w:sz w:val="20"/>
                <w:szCs w:val="20"/>
              </w:rPr>
            </w:pPr>
            <w:r>
              <w:rPr>
                <w:sz w:val="20"/>
                <w:szCs w:val="20"/>
              </w:rPr>
              <w:t>12 months</w:t>
            </w:r>
          </w:p>
        </w:tc>
      </w:tr>
      <w:tr w:rsidR="008F6385" w:rsidTr="00DE7C5B" w14:paraId="0E7EBDCD" w14:textId="77777777">
        <w:tc>
          <w:tcPr>
            <w:tcW w:w="3463" w:type="dxa"/>
          </w:tcPr>
          <w:p w:rsidRPr="00CD4CE3" w:rsidR="008F6385" w:rsidP="008F6385" w:rsidRDefault="008F6385" w14:paraId="0E8B3C81" w14:textId="4FA71721">
            <w:pPr>
              <w:rPr>
                <w:sz w:val="20"/>
                <w:szCs w:val="20"/>
              </w:rPr>
            </w:pPr>
            <w:r>
              <w:rPr>
                <w:sz w:val="20"/>
                <w:szCs w:val="20"/>
              </w:rPr>
              <w:t>Engage with patients via a patient survey</w:t>
            </w:r>
          </w:p>
        </w:tc>
        <w:tc>
          <w:tcPr>
            <w:tcW w:w="2551" w:type="dxa"/>
          </w:tcPr>
          <w:p w:rsidRPr="00CC31F9" w:rsidR="008F6385" w:rsidP="008F6385" w:rsidRDefault="008F6385" w14:paraId="0E9CE1D4" w14:textId="11A0469C">
            <w:pPr>
              <w:rPr>
                <w:sz w:val="20"/>
                <w:szCs w:val="20"/>
              </w:rPr>
            </w:pPr>
            <w:r>
              <w:rPr>
                <w:sz w:val="20"/>
                <w:szCs w:val="20"/>
              </w:rPr>
              <w:t>Engage with Patient partnership team to design a patient survey</w:t>
            </w:r>
          </w:p>
        </w:tc>
        <w:tc>
          <w:tcPr>
            <w:tcW w:w="2126" w:type="dxa"/>
          </w:tcPr>
          <w:p w:rsidRPr="00CC31F9" w:rsidR="008F6385" w:rsidP="008F6385" w:rsidRDefault="008F6385" w14:paraId="33904800" w14:textId="33141EB7">
            <w:pPr>
              <w:rPr>
                <w:sz w:val="20"/>
                <w:szCs w:val="20"/>
              </w:rPr>
            </w:pPr>
            <w:r>
              <w:rPr>
                <w:sz w:val="20"/>
                <w:szCs w:val="20"/>
              </w:rPr>
              <w:t>Project leads</w:t>
            </w:r>
          </w:p>
        </w:tc>
        <w:tc>
          <w:tcPr>
            <w:tcW w:w="1696" w:type="dxa"/>
          </w:tcPr>
          <w:p w:rsidRPr="00CC31F9" w:rsidR="008F6385" w:rsidP="008F6385" w:rsidRDefault="00280D49" w14:paraId="4126F481" w14:textId="4FB74153">
            <w:pPr>
              <w:rPr>
                <w:sz w:val="20"/>
                <w:szCs w:val="20"/>
              </w:rPr>
            </w:pPr>
            <w:r>
              <w:rPr>
                <w:sz w:val="20"/>
                <w:szCs w:val="20"/>
              </w:rPr>
              <w:t>12</w:t>
            </w:r>
            <w:r w:rsidR="00AE3A01">
              <w:rPr>
                <w:sz w:val="20"/>
                <w:szCs w:val="20"/>
              </w:rPr>
              <w:t xml:space="preserve"> months</w:t>
            </w:r>
          </w:p>
        </w:tc>
      </w:tr>
      <w:tr w:rsidR="008F6385" w:rsidTr="00DE7C5B" w14:paraId="6E664ABF" w14:textId="77777777">
        <w:tc>
          <w:tcPr>
            <w:tcW w:w="3463" w:type="dxa"/>
          </w:tcPr>
          <w:p w:rsidRPr="00CD4CE3" w:rsidR="008F6385" w:rsidP="008F6385" w:rsidRDefault="008F6385" w14:paraId="2F441925" w14:textId="72CE1128">
            <w:pPr>
              <w:rPr>
                <w:sz w:val="20"/>
                <w:szCs w:val="20"/>
              </w:rPr>
            </w:pPr>
            <w:r>
              <w:rPr>
                <w:sz w:val="20"/>
                <w:szCs w:val="20"/>
              </w:rPr>
              <w:t>Agree KPI and track roadmap to net zero</w:t>
            </w:r>
          </w:p>
        </w:tc>
        <w:tc>
          <w:tcPr>
            <w:tcW w:w="2551" w:type="dxa"/>
          </w:tcPr>
          <w:p w:rsidRPr="00CC31F9" w:rsidR="008F6385" w:rsidP="008F6385" w:rsidRDefault="009E42D3" w14:paraId="628578B5" w14:textId="15466FF3">
            <w:pPr>
              <w:rPr>
                <w:sz w:val="20"/>
                <w:szCs w:val="20"/>
              </w:rPr>
            </w:pPr>
            <w:r>
              <w:rPr>
                <w:sz w:val="20"/>
                <w:szCs w:val="20"/>
              </w:rPr>
              <w:t>Agree KPI’s and metrics to tack progress</w:t>
            </w:r>
          </w:p>
        </w:tc>
        <w:tc>
          <w:tcPr>
            <w:tcW w:w="2126" w:type="dxa"/>
          </w:tcPr>
          <w:p w:rsidRPr="00CC31F9" w:rsidR="008F6385" w:rsidP="008F6385" w:rsidRDefault="008F6385" w14:paraId="3574908B" w14:textId="535BFA9E">
            <w:pPr>
              <w:rPr>
                <w:sz w:val="20"/>
                <w:szCs w:val="20"/>
              </w:rPr>
            </w:pPr>
            <w:r>
              <w:rPr>
                <w:sz w:val="20"/>
                <w:szCs w:val="20"/>
              </w:rPr>
              <w:t>Project leads</w:t>
            </w:r>
          </w:p>
        </w:tc>
        <w:tc>
          <w:tcPr>
            <w:tcW w:w="1696" w:type="dxa"/>
          </w:tcPr>
          <w:p w:rsidRPr="00CC31F9" w:rsidR="008F6385" w:rsidP="008F6385" w:rsidRDefault="001719A1" w14:paraId="53DA07B3" w14:textId="4D4B089A">
            <w:pPr>
              <w:rPr>
                <w:sz w:val="20"/>
                <w:szCs w:val="20"/>
              </w:rPr>
            </w:pPr>
            <w:r>
              <w:rPr>
                <w:sz w:val="20"/>
                <w:szCs w:val="20"/>
              </w:rPr>
              <w:t>12 months</w:t>
            </w:r>
          </w:p>
        </w:tc>
      </w:tr>
    </w:tbl>
    <w:p w:rsidR="00E36A85" w:rsidP="008F1D9E" w:rsidRDefault="00E36A85" w14:paraId="5A503740" w14:textId="77777777">
      <w:pPr>
        <w:ind w:left="360"/>
        <w:rPr>
          <w:b/>
          <w:bCs/>
          <w:color w:val="538135" w:themeColor="accent6" w:themeShade="BF"/>
          <w:sz w:val="28"/>
          <w:szCs w:val="28"/>
        </w:rPr>
      </w:pPr>
    </w:p>
    <w:p w:rsidRPr="00A065AC" w:rsidR="00A065AC" w:rsidP="00A065AC" w:rsidRDefault="00390A97" w14:paraId="6815D70E" w14:textId="2CBC4BC4">
      <w:pPr>
        <w:pStyle w:val="ListParagraph"/>
        <w:numPr>
          <w:ilvl w:val="0"/>
          <w:numId w:val="33"/>
        </w:numPr>
        <w:rPr>
          <w:b/>
          <w:bCs/>
          <w:color w:val="538135" w:themeColor="accent6" w:themeShade="BF"/>
          <w:sz w:val="28"/>
          <w:szCs w:val="28"/>
        </w:rPr>
      </w:pPr>
      <w:r>
        <w:rPr>
          <w:b/>
          <w:bCs/>
          <w:color w:val="538135" w:themeColor="accent6" w:themeShade="BF"/>
          <w:sz w:val="28"/>
          <w:szCs w:val="28"/>
        </w:rPr>
        <w:lastRenderedPageBreak/>
        <w:t>Project Infographic</w:t>
      </w:r>
    </w:p>
    <w:p w:rsidR="004413B2" w:rsidP="00CD66B2" w:rsidRDefault="001E0E46" w14:paraId="2B7FDD35" w14:textId="033E019E">
      <w:pPr>
        <w:pStyle w:val="ListParagraph"/>
        <w:ind w:left="375"/>
        <w:jc w:val="center"/>
      </w:pPr>
      <w:r>
        <w:rPr>
          <w:noProof/>
        </w:rPr>
        <w:drawing>
          <wp:inline distT="0" distB="0" distL="0" distR="0" wp14:anchorId="7CD0B04F" wp14:editId="77FE9793">
            <wp:extent cx="5454595" cy="3105688"/>
            <wp:effectExtent l="0" t="0" r="0" b="0"/>
            <wp:docPr id="988879900"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79900" name="Picture 1" descr="A close-up of a graph&#10;&#10;Description automatically generated"/>
                    <pic:cNvPicPr/>
                  </pic:nvPicPr>
                  <pic:blipFill>
                    <a:blip r:embed="rId14"/>
                    <a:stretch>
                      <a:fillRect/>
                    </a:stretch>
                  </pic:blipFill>
                  <pic:spPr>
                    <a:xfrm>
                      <a:off x="0" y="0"/>
                      <a:ext cx="5467294" cy="3112918"/>
                    </a:xfrm>
                    <a:prstGeom prst="rect">
                      <a:avLst/>
                    </a:prstGeom>
                  </pic:spPr>
                </pic:pic>
              </a:graphicData>
            </a:graphic>
          </wp:inline>
        </w:drawing>
      </w:r>
    </w:p>
    <w:sectPr w:rsidR="004413B2" w:rsidSect="007C13B4">
      <w:headerReference w:type="default" r:id="rId15"/>
      <w:footerReference w:type="default" r:id="rId16"/>
      <w:headerReference w:type="first" r:id="rId17"/>
      <w:pgSz w:w="11906" w:h="16838" w:orient="portrait"/>
      <w:pgMar w:top="568" w:right="849" w:bottom="709" w:left="851"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04A6" w:rsidP="00E427DF" w:rsidRDefault="009204A6" w14:paraId="54080803" w14:textId="77777777">
      <w:pPr>
        <w:spacing w:after="0" w:line="240" w:lineRule="auto"/>
      </w:pPr>
      <w:r>
        <w:separator/>
      </w:r>
    </w:p>
  </w:endnote>
  <w:endnote w:type="continuationSeparator" w:id="0">
    <w:p w:rsidR="009204A6" w:rsidP="00E427DF" w:rsidRDefault="009204A6" w14:paraId="478C2B41" w14:textId="77777777">
      <w:pPr>
        <w:spacing w:after="0" w:line="240" w:lineRule="auto"/>
      </w:pPr>
      <w:r>
        <w:continuationSeparator/>
      </w:r>
    </w:p>
  </w:endnote>
  <w:endnote w:type="continuationNotice" w:id="1">
    <w:p w:rsidR="009204A6" w:rsidRDefault="009204A6" w14:paraId="0BD742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5E63" w:rsidP="007C1308" w:rsidRDefault="007228E2" w14:paraId="28B1EC37" w14:textId="77777777">
    <w:pPr>
      <w:pStyle w:val="Footer"/>
      <w:jc w:val="right"/>
    </w:pPr>
    <w:r w:rsidRPr="00636411">
      <w:t xml:space="preserve">Page </w:t>
    </w:r>
    <w:r w:rsidRPr="00636411">
      <w:rPr>
        <w:b/>
        <w:bCs/>
        <w:sz w:val="24"/>
        <w:szCs w:val="24"/>
      </w:rPr>
      <w:fldChar w:fldCharType="begin"/>
    </w:r>
    <w:r w:rsidRPr="00636411">
      <w:rPr>
        <w:b/>
        <w:bCs/>
      </w:rPr>
      <w:instrText xml:space="preserve"> PAGE </w:instrText>
    </w:r>
    <w:r w:rsidRPr="00636411">
      <w:rPr>
        <w:b/>
        <w:bCs/>
        <w:sz w:val="24"/>
        <w:szCs w:val="24"/>
      </w:rPr>
      <w:fldChar w:fldCharType="separate"/>
    </w:r>
    <w:r w:rsidRPr="00636411">
      <w:rPr>
        <w:b/>
        <w:bCs/>
        <w:noProof/>
      </w:rPr>
      <w:t>2</w:t>
    </w:r>
    <w:r w:rsidRPr="00636411">
      <w:rPr>
        <w:b/>
        <w:bCs/>
        <w:sz w:val="24"/>
        <w:szCs w:val="24"/>
      </w:rPr>
      <w:fldChar w:fldCharType="end"/>
    </w:r>
    <w:r w:rsidRPr="00636411">
      <w:t xml:space="preserve"> of </w:t>
    </w:r>
    <w:r w:rsidRPr="00636411">
      <w:rPr>
        <w:b/>
        <w:bCs/>
        <w:sz w:val="24"/>
        <w:szCs w:val="24"/>
      </w:rPr>
      <w:fldChar w:fldCharType="begin"/>
    </w:r>
    <w:r w:rsidRPr="00636411">
      <w:rPr>
        <w:b/>
        <w:bCs/>
      </w:rPr>
      <w:instrText xml:space="preserve"> NUMPAGES  </w:instrText>
    </w:r>
    <w:r w:rsidRPr="00636411">
      <w:rPr>
        <w:b/>
        <w:bCs/>
        <w:sz w:val="24"/>
        <w:szCs w:val="24"/>
      </w:rPr>
      <w:fldChar w:fldCharType="separate"/>
    </w:r>
    <w:r w:rsidRPr="00636411">
      <w:rPr>
        <w:b/>
        <w:bCs/>
        <w:noProof/>
      </w:rPr>
      <w:t>2</w:t>
    </w:r>
    <w:r w:rsidRPr="00636411">
      <w:rPr>
        <w:b/>
        <w:bCs/>
        <w:sz w:val="24"/>
        <w:szCs w:val="24"/>
      </w:rPr>
      <w:fldChar w:fldCharType="end"/>
    </w:r>
  </w:p>
  <w:p w:rsidRPr="00D36DA6" w:rsidR="00BD5529" w:rsidP="00BD5529" w:rsidRDefault="00BD5529" w14:paraId="2C0E4A42" w14:textId="77777777">
    <w:pPr>
      <w:ind w:left="786"/>
      <w:rPr>
        <w:rFonts w:cstheme="minorHAnsi"/>
        <w:bCs/>
      </w:rPr>
    </w:pPr>
  </w:p>
  <w:p w:rsidR="00665E63" w:rsidRDefault="00665E63" w14:paraId="4CBFB7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04A6" w:rsidP="00E427DF" w:rsidRDefault="009204A6" w14:paraId="03E0B44A" w14:textId="77777777">
      <w:pPr>
        <w:spacing w:after="0" w:line="240" w:lineRule="auto"/>
      </w:pPr>
      <w:r>
        <w:separator/>
      </w:r>
    </w:p>
  </w:footnote>
  <w:footnote w:type="continuationSeparator" w:id="0">
    <w:p w:rsidR="009204A6" w:rsidP="00E427DF" w:rsidRDefault="009204A6" w14:paraId="34AAEC83" w14:textId="77777777">
      <w:pPr>
        <w:spacing w:after="0" w:line="240" w:lineRule="auto"/>
      </w:pPr>
      <w:r>
        <w:continuationSeparator/>
      </w:r>
    </w:p>
  </w:footnote>
  <w:footnote w:type="continuationNotice" w:id="1">
    <w:p w:rsidR="009204A6" w:rsidRDefault="009204A6" w14:paraId="653C98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5E63" w:rsidP="009D1A27" w:rsidRDefault="00665E63" w14:paraId="50E89E8C" w14:textId="4EB373EA">
    <w:pPr>
      <w:pStyle w:val="Header"/>
      <w:jc w:val="right"/>
    </w:pPr>
  </w:p>
  <w:p w:rsidR="00665E63" w:rsidP="009D1A27" w:rsidRDefault="00665E63" w14:paraId="07175381" w14:textId="77777777">
    <w:pPr>
      <w:pStyle w:val="Header"/>
      <w:jc w:val="right"/>
    </w:pPr>
  </w:p>
  <w:p w:rsidR="00665E63" w:rsidP="009D1A27" w:rsidRDefault="00665E63" w14:paraId="24EB2BE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427DF" w:rsidP="00ED760C" w:rsidRDefault="00ED760C" w14:paraId="01AAC7F3" w14:textId="05BA0848">
    <w:pPr>
      <w:pStyle w:val="Header"/>
      <w:jc w:val="right"/>
    </w:pPr>
    <w:r>
      <w:rPr>
        <w:noProof/>
      </w:rPr>
      <w:drawing>
        <wp:inline distT="0" distB="0" distL="0" distR="0" wp14:anchorId="41E3489C" wp14:editId="42D87980">
          <wp:extent cx="1779905" cy="475615"/>
          <wp:effectExtent l="0" t="0" r="0" b="635"/>
          <wp:docPr id="1651097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5D5"/>
    <w:multiLevelType w:val="hybridMultilevel"/>
    <w:tmpl w:val="4FD03A6A"/>
    <w:lvl w:ilvl="0" w:tplc="6ABAEE7E">
      <w:start w:val="1"/>
      <w:numFmt w:val="bullet"/>
      <w:lvlText w:val=""/>
      <w:lvlJc w:val="left"/>
      <w:pPr>
        <w:ind w:left="1506" w:hanging="360"/>
      </w:pPr>
      <w:rPr>
        <w:rFonts w:hint="default" w:ascii="Wingdings" w:hAnsi="Wingdings"/>
        <w:color w:val="538135" w:themeColor="accent6" w:themeShade="BF"/>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463F8C"/>
    <w:multiLevelType w:val="hybridMultilevel"/>
    <w:tmpl w:val="43242CD8"/>
    <w:lvl w:ilvl="0" w:tplc="08090001">
      <w:start w:val="1"/>
      <w:numFmt w:val="bullet"/>
      <w:lvlText w:val=""/>
      <w:lvlJc w:val="left"/>
      <w:pPr>
        <w:ind w:left="1506" w:hanging="360"/>
      </w:pPr>
      <w:rPr>
        <w:rFonts w:hint="default" w:ascii="Symbol" w:hAnsi="Symbol"/>
      </w:rPr>
    </w:lvl>
    <w:lvl w:ilvl="1" w:tplc="08090003" w:tentative="1">
      <w:start w:val="1"/>
      <w:numFmt w:val="bullet"/>
      <w:lvlText w:val="o"/>
      <w:lvlJc w:val="left"/>
      <w:pPr>
        <w:ind w:left="2226" w:hanging="360"/>
      </w:pPr>
      <w:rPr>
        <w:rFonts w:hint="default" w:ascii="Courier New" w:hAnsi="Courier New" w:cs="Courier New"/>
      </w:rPr>
    </w:lvl>
    <w:lvl w:ilvl="2" w:tplc="08090005" w:tentative="1">
      <w:start w:val="1"/>
      <w:numFmt w:val="bullet"/>
      <w:lvlText w:val=""/>
      <w:lvlJc w:val="left"/>
      <w:pPr>
        <w:ind w:left="2946" w:hanging="360"/>
      </w:pPr>
      <w:rPr>
        <w:rFonts w:hint="default" w:ascii="Wingdings" w:hAnsi="Wingdings"/>
      </w:rPr>
    </w:lvl>
    <w:lvl w:ilvl="3" w:tplc="08090001" w:tentative="1">
      <w:start w:val="1"/>
      <w:numFmt w:val="bullet"/>
      <w:lvlText w:val=""/>
      <w:lvlJc w:val="left"/>
      <w:pPr>
        <w:ind w:left="3666" w:hanging="360"/>
      </w:pPr>
      <w:rPr>
        <w:rFonts w:hint="default" w:ascii="Symbol" w:hAnsi="Symbol"/>
      </w:rPr>
    </w:lvl>
    <w:lvl w:ilvl="4" w:tplc="08090003" w:tentative="1">
      <w:start w:val="1"/>
      <w:numFmt w:val="bullet"/>
      <w:lvlText w:val="o"/>
      <w:lvlJc w:val="left"/>
      <w:pPr>
        <w:ind w:left="4386" w:hanging="360"/>
      </w:pPr>
      <w:rPr>
        <w:rFonts w:hint="default" w:ascii="Courier New" w:hAnsi="Courier New" w:cs="Courier New"/>
      </w:rPr>
    </w:lvl>
    <w:lvl w:ilvl="5" w:tplc="08090005" w:tentative="1">
      <w:start w:val="1"/>
      <w:numFmt w:val="bullet"/>
      <w:lvlText w:val=""/>
      <w:lvlJc w:val="left"/>
      <w:pPr>
        <w:ind w:left="5106" w:hanging="360"/>
      </w:pPr>
      <w:rPr>
        <w:rFonts w:hint="default" w:ascii="Wingdings" w:hAnsi="Wingdings"/>
      </w:rPr>
    </w:lvl>
    <w:lvl w:ilvl="6" w:tplc="08090001" w:tentative="1">
      <w:start w:val="1"/>
      <w:numFmt w:val="bullet"/>
      <w:lvlText w:val=""/>
      <w:lvlJc w:val="left"/>
      <w:pPr>
        <w:ind w:left="5826" w:hanging="360"/>
      </w:pPr>
      <w:rPr>
        <w:rFonts w:hint="default" w:ascii="Symbol" w:hAnsi="Symbol"/>
      </w:rPr>
    </w:lvl>
    <w:lvl w:ilvl="7" w:tplc="08090003" w:tentative="1">
      <w:start w:val="1"/>
      <w:numFmt w:val="bullet"/>
      <w:lvlText w:val="o"/>
      <w:lvlJc w:val="left"/>
      <w:pPr>
        <w:ind w:left="6546" w:hanging="360"/>
      </w:pPr>
      <w:rPr>
        <w:rFonts w:hint="default" w:ascii="Courier New" w:hAnsi="Courier New" w:cs="Courier New"/>
      </w:rPr>
    </w:lvl>
    <w:lvl w:ilvl="8" w:tplc="08090005" w:tentative="1">
      <w:start w:val="1"/>
      <w:numFmt w:val="bullet"/>
      <w:lvlText w:val=""/>
      <w:lvlJc w:val="left"/>
      <w:pPr>
        <w:ind w:left="7266" w:hanging="360"/>
      </w:pPr>
      <w:rPr>
        <w:rFonts w:hint="default" w:ascii="Wingdings" w:hAnsi="Wingdings"/>
      </w:rPr>
    </w:lvl>
  </w:abstractNum>
  <w:abstractNum w:abstractNumId="2" w15:restartNumberingAfterBreak="0">
    <w:nsid w:val="07BD7FDD"/>
    <w:multiLevelType w:val="hybridMultilevel"/>
    <w:tmpl w:val="B866A746"/>
    <w:lvl w:ilvl="0" w:tplc="7BF4BE1A">
      <w:start w:val="1"/>
      <w:numFmt w:val="decimal"/>
      <w:lvlText w:val="%1-"/>
      <w:lvlJc w:val="left"/>
      <w:pPr>
        <w:ind w:left="720" w:hanging="360"/>
      </w:pPr>
      <w:rPr>
        <w:rFonts w:hint="default"/>
      </w:rPr>
    </w:lvl>
    <w:lvl w:ilvl="1" w:tplc="5AAAB33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95CBF"/>
    <w:multiLevelType w:val="hybridMultilevel"/>
    <w:tmpl w:val="C49E748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555B80"/>
    <w:multiLevelType w:val="hybridMultilevel"/>
    <w:tmpl w:val="3000E934"/>
    <w:lvl w:ilvl="0" w:tplc="BCDA8D62">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D1D46F2"/>
    <w:multiLevelType w:val="hybridMultilevel"/>
    <w:tmpl w:val="1FF8DDB2"/>
    <w:lvl w:ilvl="0" w:tplc="CAF6BAF0">
      <w:start w:val="2"/>
      <w:numFmt w:val="bullet"/>
      <w:lvlText w:val="-"/>
      <w:lvlJc w:val="left"/>
      <w:pPr>
        <w:ind w:left="735" w:hanging="360"/>
      </w:pPr>
      <w:rPr>
        <w:rFonts w:hint="default" w:ascii="Calibri" w:hAnsi="Calibri" w:eastAsia="Calibri" w:cs="Calibri"/>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6" w15:restartNumberingAfterBreak="0">
    <w:nsid w:val="0E325783"/>
    <w:multiLevelType w:val="hybridMultilevel"/>
    <w:tmpl w:val="F3F001BA"/>
    <w:lvl w:ilvl="0" w:tplc="0C7C72BC">
      <w:start w:val="4"/>
      <w:numFmt w:val="bullet"/>
      <w:lvlText w:val="-"/>
      <w:lvlJc w:val="left"/>
      <w:pPr>
        <w:ind w:left="1440" w:hanging="360"/>
      </w:pPr>
      <w:rPr>
        <w:rFonts w:hint="default" w:ascii="Calibri" w:hAnsi="Calibri" w:eastAsia="Calibri"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3A420B0"/>
    <w:multiLevelType w:val="hybridMultilevel"/>
    <w:tmpl w:val="8C620CF0"/>
    <w:lvl w:ilvl="0" w:tplc="035EA0AA">
      <w:start w:val="3"/>
      <w:numFmt w:val="decimal"/>
      <w:lvlText w:val="%1"/>
      <w:lvlJc w:val="left"/>
      <w:pPr>
        <w:ind w:left="720" w:hanging="360"/>
      </w:pPr>
      <w:rPr>
        <w:rFonts w:hint="default"/>
      </w:rPr>
    </w:lvl>
    <w:lvl w:ilvl="1" w:tplc="5AAAB33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91AD6"/>
    <w:multiLevelType w:val="hybridMultilevel"/>
    <w:tmpl w:val="B6C2AAD2"/>
    <w:lvl w:ilvl="0" w:tplc="BEB48E4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646A7"/>
    <w:multiLevelType w:val="hybridMultilevel"/>
    <w:tmpl w:val="A1805104"/>
    <w:lvl w:ilvl="0" w:tplc="BB4E561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D2114"/>
    <w:multiLevelType w:val="multilevel"/>
    <w:tmpl w:val="FCA8615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asciiTheme="minorHAnsi" w:hAnsiTheme="minorHAnsi" w:cstheme="minorHAnsi"/>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8F2D2E"/>
    <w:multiLevelType w:val="hybridMultilevel"/>
    <w:tmpl w:val="109C90B0"/>
    <w:lvl w:ilvl="0" w:tplc="BCDA8D62">
      <w:start w:val="1"/>
      <w:numFmt w:val="bullet"/>
      <w:lvlText w:val=""/>
      <w:lvlJc w:val="left"/>
      <w:pPr>
        <w:ind w:left="1095" w:hanging="360"/>
      </w:pPr>
      <w:rPr>
        <w:rFonts w:hint="default" w:ascii="Symbol" w:hAnsi="Symbol"/>
      </w:rPr>
    </w:lvl>
    <w:lvl w:ilvl="1" w:tplc="08090003" w:tentative="1">
      <w:start w:val="1"/>
      <w:numFmt w:val="bullet"/>
      <w:lvlText w:val="o"/>
      <w:lvlJc w:val="left"/>
      <w:pPr>
        <w:ind w:left="1815" w:hanging="360"/>
      </w:pPr>
      <w:rPr>
        <w:rFonts w:hint="default" w:ascii="Courier New" w:hAnsi="Courier New" w:cs="Courier New"/>
      </w:rPr>
    </w:lvl>
    <w:lvl w:ilvl="2" w:tplc="08090005" w:tentative="1">
      <w:start w:val="1"/>
      <w:numFmt w:val="bullet"/>
      <w:lvlText w:val=""/>
      <w:lvlJc w:val="left"/>
      <w:pPr>
        <w:ind w:left="2535" w:hanging="360"/>
      </w:pPr>
      <w:rPr>
        <w:rFonts w:hint="default" w:ascii="Wingdings" w:hAnsi="Wingdings"/>
      </w:rPr>
    </w:lvl>
    <w:lvl w:ilvl="3" w:tplc="08090001" w:tentative="1">
      <w:start w:val="1"/>
      <w:numFmt w:val="bullet"/>
      <w:lvlText w:val=""/>
      <w:lvlJc w:val="left"/>
      <w:pPr>
        <w:ind w:left="3255" w:hanging="360"/>
      </w:pPr>
      <w:rPr>
        <w:rFonts w:hint="default" w:ascii="Symbol" w:hAnsi="Symbol"/>
      </w:rPr>
    </w:lvl>
    <w:lvl w:ilvl="4" w:tplc="08090003" w:tentative="1">
      <w:start w:val="1"/>
      <w:numFmt w:val="bullet"/>
      <w:lvlText w:val="o"/>
      <w:lvlJc w:val="left"/>
      <w:pPr>
        <w:ind w:left="3975" w:hanging="360"/>
      </w:pPr>
      <w:rPr>
        <w:rFonts w:hint="default" w:ascii="Courier New" w:hAnsi="Courier New" w:cs="Courier New"/>
      </w:rPr>
    </w:lvl>
    <w:lvl w:ilvl="5" w:tplc="08090005" w:tentative="1">
      <w:start w:val="1"/>
      <w:numFmt w:val="bullet"/>
      <w:lvlText w:val=""/>
      <w:lvlJc w:val="left"/>
      <w:pPr>
        <w:ind w:left="4695" w:hanging="360"/>
      </w:pPr>
      <w:rPr>
        <w:rFonts w:hint="default" w:ascii="Wingdings" w:hAnsi="Wingdings"/>
      </w:rPr>
    </w:lvl>
    <w:lvl w:ilvl="6" w:tplc="08090001" w:tentative="1">
      <w:start w:val="1"/>
      <w:numFmt w:val="bullet"/>
      <w:lvlText w:val=""/>
      <w:lvlJc w:val="left"/>
      <w:pPr>
        <w:ind w:left="5415" w:hanging="360"/>
      </w:pPr>
      <w:rPr>
        <w:rFonts w:hint="default" w:ascii="Symbol" w:hAnsi="Symbol"/>
      </w:rPr>
    </w:lvl>
    <w:lvl w:ilvl="7" w:tplc="08090003" w:tentative="1">
      <w:start w:val="1"/>
      <w:numFmt w:val="bullet"/>
      <w:lvlText w:val="o"/>
      <w:lvlJc w:val="left"/>
      <w:pPr>
        <w:ind w:left="6135" w:hanging="360"/>
      </w:pPr>
      <w:rPr>
        <w:rFonts w:hint="default" w:ascii="Courier New" w:hAnsi="Courier New" w:cs="Courier New"/>
      </w:rPr>
    </w:lvl>
    <w:lvl w:ilvl="8" w:tplc="08090005" w:tentative="1">
      <w:start w:val="1"/>
      <w:numFmt w:val="bullet"/>
      <w:lvlText w:val=""/>
      <w:lvlJc w:val="left"/>
      <w:pPr>
        <w:ind w:left="6855" w:hanging="360"/>
      </w:pPr>
      <w:rPr>
        <w:rFonts w:hint="default" w:ascii="Wingdings" w:hAnsi="Wingdings"/>
      </w:rPr>
    </w:lvl>
  </w:abstractNum>
  <w:abstractNum w:abstractNumId="12" w15:restartNumberingAfterBreak="0">
    <w:nsid w:val="33741A37"/>
    <w:multiLevelType w:val="multilevel"/>
    <w:tmpl w:val="F6A85342"/>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4822B2"/>
    <w:multiLevelType w:val="multilevel"/>
    <w:tmpl w:val="9C28234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37CD6DDC"/>
    <w:multiLevelType w:val="hybridMultilevel"/>
    <w:tmpl w:val="712E684A"/>
    <w:lvl w:ilvl="0" w:tplc="0C7C72BC">
      <w:start w:val="4"/>
      <w:numFmt w:val="bullet"/>
      <w:lvlText w:val="-"/>
      <w:lvlJc w:val="left"/>
      <w:pPr>
        <w:ind w:left="1004" w:hanging="360"/>
      </w:pPr>
      <w:rPr>
        <w:rFonts w:hint="default" w:ascii="Calibri" w:hAnsi="Calibri" w:eastAsia="Calibri" w:cs="Calibri"/>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5" w15:restartNumberingAfterBreak="0">
    <w:nsid w:val="3BE914D0"/>
    <w:multiLevelType w:val="multilevel"/>
    <w:tmpl w:val="4906B960"/>
    <w:lvl w:ilvl="0">
      <w:start w:val="3"/>
      <w:numFmt w:val="decimal"/>
      <w:lvlText w:val="%1."/>
      <w:lvlJc w:val="left"/>
      <w:pPr>
        <w:ind w:left="375" w:hanging="375"/>
      </w:pPr>
      <w:rPr>
        <w:rFonts w:hint="default" w:cstheme="minorBidi"/>
      </w:rPr>
    </w:lvl>
    <w:lvl w:ilvl="1">
      <w:start w:val="2"/>
      <w:numFmt w:val="decimal"/>
      <w:lvlText w:val="%1.%2-"/>
      <w:lvlJc w:val="left"/>
      <w:pPr>
        <w:ind w:left="1440" w:hanging="720"/>
      </w:pPr>
      <w:rPr>
        <w:rFonts w:hint="default" w:cstheme="minorBidi"/>
      </w:rPr>
    </w:lvl>
    <w:lvl w:ilvl="2">
      <w:start w:val="1"/>
      <w:numFmt w:val="decimal"/>
      <w:lvlText w:val="%1.%2-%3."/>
      <w:lvlJc w:val="left"/>
      <w:pPr>
        <w:ind w:left="2160" w:hanging="720"/>
      </w:pPr>
      <w:rPr>
        <w:rFonts w:hint="default" w:cstheme="minorBidi"/>
      </w:rPr>
    </w:lvl>
    <w:lvl w:ilvl="3">
      <w:start w:val="1"/>
      <w:numFmt w:val="decimal"/>
      <w:lvlText w:val="%1.%2-%3.%4."/>
      <w:lvlJc w:val="left"/>
      <w:pPr>
        <w:ind w:left="3240" w:hanging="1080"/>
      </w:pPr>
      <w:rPr>
        <w:rFonts w:hint="default" w:cstheme="minorBidi"/>
      </w:rPr>
    </w:lvl>
    <w:lvl w:ilvl="4">
      <w:start w:val="1"/>
      <w:numFmt w:val="decimal"/>
      <w:lvlText w:val="%1.%2-%3.%4.%5."/>
      <w:lvlJc w:val="left"/>
      <w:pPr>
        <w:ind w:left="3960" w:hanging="1080"/>
      </w:pPr>
      <w:rPr>
        <w:rFonts w:hint="default" w:cstheme="minorBidi"/>
      </w:rPr>
    </w:lvl>
    <w:lvl w:ilvl="5">
      <w:start w:val="1"/>
      <w:numFmt w:val="decimal"/>
      <w:lvlText w:val="%1.%2-%3.%4.%5.%6."/>
      <w:lvlJc w:val="left"/>
      <w:pPr>
        <w:ind w:left="5040" w:hanging="1440"/>
      </w:pPr>
      <w:rPr>
        <w:rFonts w:hint="default" w:cstheme="minorBidi"/>
      </w:rPr>
    </w:lvl>
    <w:lvl w:ilvl="6">
      <w:start w:val="1"/>
      <w:numFmt w:val="decimal"/>
      <w:lvlText w:val="%1.%2-%3.%4.%5.%6.%7."/>
      <w:lvlJc w:val="left"/>
      <w:pPr>
        <w:ind w:left="5760" w:hanging="1440"/>
      </w:pPr>
      <w:rPr>
        <w:rFonts w:hint="default" w:cstheme="minorBidi"/>
      </w:rPr>
    </w:lvl>
    <w:lvl w:ilvl="7">
      <w:start w:val="1"/>
      <w:numFmt w:val="decimal"/>
      <w:lvlText w:val="%1.%2-%3.%4.%5.%6.%7.%8."/>
      <w:lvlJc w:val="left"/>
      <w:pPr>
        <w:ind w:left="6840" w:hanging="1800"/>
      </w:pPr>
      <w:rPr>
        <w:rFonts w:hint="default" w:cstheme="minorBidi"/>
      </w:rPr>
    </w:lvl>
    <w:lvl w:ilvl="8">
      <w:start w:val="1"/>
      <w:numFmt w:val="decimal"/>
      <w:lvlText w:val="%1.%2-%3.%4.%5.%6.%7.%8.%9."/>
      <w:lvlJc w:val="left"/>
      <w:pPr>
        <w:ind w:left="7560" w:hanging="1800"/>
      </w:pPr>
      <w:rPr>
        <w:rFonts w:hint="default" w:cstheme="minorBidi"/>
      </w:rPr>
    </w:lvl>
  </w:abstractNum>
  <w:abstractNum w:abstractNumId="16" w15:restartNumberingAfterBreak="0">
    <w:nsid w:val="3E784A53"/>
    <w:multiLevelType w:val="multilevel"/>
    <w:tmpl w:val="114ABA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58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F30E4"/>
    <w:multiLevelType w:val="multilevel"/>
    <w:tmpl w:val="BCBA9D9E"/>
    <w:lvl w:ilvl="0">
      <w:start w:val="3"/>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4B6939C0"/>
    <w:multiLevelType w:val="hybridMultilevel"/>
    <w:tmpl w:val="6568BA7C"/>
    <w:lvl w:ilvl="0" w:tplc="0C7C72BC">
      <w:start w:val="4"/>
      <w:numFmt w:val="bullet"/>
      <w:lvlText w:val="-"/>
      <w:lvlJc w:val="left"/>
      <w:pPr>
        <w:ind w:left="1866" w:hanging="360"/>
      </w:pPr>
      <w:rPr>
        <w:rFonts w:hint="default" w:ascii="Calibri" w:hAnsi="Calibri" w:eastAsia="Calibri" w:cs="Calibri"/>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0" w15:restartNumberingAfterBreak="0">
    <w:nsid w:val="4D1C01B5"/>
    <w:multiLevelType w:val="multilevel"/>
    <w:tmpl w:val="5C5EE04A"/>
    <w:lvl w:ilvl="0">
      <w:start w:val="1"/>
      <w:numFmt w:val="decimal"/>
      <w:lvlText w:val="%1.1"/>
      <w:lvlJc w:val="left"/>
      <w:pPr>
        <w:ind w:left="375" w:hanging="375"/>
      </w:pPr>
      <w:rPr>
        <w:rFonts w:hint="default"/>
        <w:sz w:val="28"/>
        <w:szCs w:val="28"/>
      </w:rPr>
    </w:lvl>
    <w:lvl w:ilvl="1">
      <w:start w:val="2"/>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6B4416"/>
    <w:multiLevelType w:val="hybridMultilevel"/>
    <w:tmpl w:val="9A509A78"/>
    <w:lvl w:ilvl="0" w:tplc="9EB28682">
      <w:start w:val="1"/>
      <w:numFmt w:val="bullet"/>
      <w:lvlText w:val=""/>
      <w:lvlJc w:val="left"/>
      <w:pPr>
        <w:ind w:left="1133" w:hanging="360"/>
      </w:pPr>
      <w:rPr>
        <w:rFonts w:hint="default" w:ascii="Wingdings" w:hAnsi="Wingdings"/>
        <w:color w:val="538135" w:themeColor="accent6" w:themeShade="BF"/>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2" w15:restartNumberingAfterBreak="0">
    <w:nsid w:val="4DD82099"/>
    <w:multiLevelType w:val="multilevel"/>
    <w:tmpl w:val="771E5A7E"/>
    <w:lvl w:ilvl="0">
      <w:start w:val="4"/>
      <w:numFmt w:val="decimal"/>
      <w:lvlText w:val="%1."/>
      <w:lvlJc w:val="left"/>
      <w:pPr>
        <w:ind w:left="375" w:hanging="375"/>
      </w:pPr>
      <w:rPr>
        <w:rFonts w:hint="default" w:cstheme="minorBidi"/>
      </w:rPr>
    </w:lvl>
    <w:lvl w:ilvl="1">
      <w:start w:val="1"/>
      <w:numFmt w:val="decimal"/>
      <w:lvlText w:val="%1.%2-"/>
      <w:lvlJc w:val="left"/>
      <w:pPr>
        <w:ind w:left="1440" w:hanging="720"/>
      </w:pPr>
      <w:rPr>
        <w:rFonts w:hint="default" w:cstheme="minorBidi"/>
      </w:rPr>
    </w:lvl>
    <w:lvl w:ilvl="2">
      <w:start w:val="1"/>
      <w:numFmt w:val="decimal"/>
      <w:lvlText w:val="%1.%2-%3."/>
      <w:lvlJc w:val="left"/>
      <w:pPr>
        <w:ind w:left="2160" w:hanging="720"/>
      </w:pPr>
      <w:rPr>
        <w:rFonts w:hint="default" w:cstheme="minorBidi"/>
      </w:rPr>
    </w:lvl>
    <w:lvl w:ilvl="3">
      <w:start w:val="1"/>
      <w:numFmt w:val="decimal"/>
      <w:lvlText w:val="%1.%2-%3.%4."/>
      <w:lvlJc w:val="left"/>
      <w:pPr>
        <w:ind w:left="3240" w:hanging="1080"/>
      </w:pPr>
      <w:rPr>
        <w:rFonts w:hint="default" w:cstheme="minorBidi"/>
      </w:rPr>
    </w:lvl>
    <w:lvl w:ilvl="4">
      <w:start w:val="1"/>
      <w:numFmt w:val="decimal"/>
      <w:lvlText w:val="%1.%2-%3.%4.%5."/>
      <w:lvlJc w:val="left"/>
      <w:pPr>
        <w:ind w:left="3960" w:hanging="1080"/>
      </w:pPr>
      <w:rPr>
        <w:rFonts w:hint="default" w:cstheme="minorBidi"/>
      </w:rPr>
    </w:lvl>
    <w:lvl w:ilvl="5">
      <w:start w:val="1"/>
      <w:numFmt w:val="decimal"/>
      <w:lvlText w:val="%1.%2-%3.%4.%5.%6."/>
      <w:lvlJc w:val="left"/>
      <w:pPr>
        <w:ind w:left="5040" w:hanging="1440"/>
      </w:pPr>
      <w:rPr>
        <w:rFonts w:hint="default" w:cstheme="minorBidi"/>
      </w:rPr>
    </w:lvl>
    <w:lvl w:ilvl="6">
      <w:start w:val="1"/>
      <w:numFmt w:val="decimal"/>
      <w:lvlText w:val="%1.%2-%3.%4.%5.%6.%7."/>
      <w:lvlJc w:val="left"/>
      <w:pPr>
        <w:ind w:left="5760" w:hanging="1440"/>
      </w:pPr>
      <w:rPr>
        <w:rFonts w:hint="default" w:cstheme="minorBidi"/>
      </w:rPr>
    </w:lvl>
    <w:lvl w:ilvl="7">
      <w:start w:val="1"/>
      <w:numFmt w:val="decimal"/>
      <w:lvlText w:val="%1.%2-%3.%4.%5.%6.%7.%8."/>
      <w:lvlJc w:val="left"/>
      <w:pPr>
        <w:ind w:left="6840" w:hanging="1800"/>
      </w:pPr>
      <w:rPr>
        <w:rFonts w:hint="default" w:cstheme="minorBidi"/>
      </w:rPr>
    </w:lvl>
    <w:lvl w:ilvl="8">
      <w:start w:val="1"/>
      <w:numFmt w:val="decimal"/>
      <w:lvlText w:val="%1.%2-%3.%4.%5.%6.%7.%8.%9."/>
      <w:lvlJc w:val="left"/>
      <w:pPr>
        <w:ind w:left="7560" w:hanging="1800"/>
      </w:pPr>
      <w:rPr>
        <w:rFonts w:hint="default" w:cstheme="minorBidi"/>
      </w:rPr>
    </w:lvl>
  </w:abstractNum>
  <w:abstractNum w:abstractNumId="23" w15:restartNumberingAfterBreak="0">
    <w:nsid w:val="53C917E1"/>
    <w:multiLevelType w:val="hybridMultilevel"/>
    <w:tmpl w:val="CF903EDA"/>
    <w:lvl w:ilvl="0" w:tplc="9EB28682">
      <w:start w:val="1"/>
      <w:numFmt w:val="bullet"/>
      <w:lvlText w:val=""/>
      <w:lvlJc w:val="left"/>
      <w:pPr>
        <w:ind w:left="1080" w:hanging="360"/>
      </w:pPr>
      <w:rPr>
        <w:rFonts w:hint="default" w:ascii="Wingdings" w:hAnsi="Wingdings"/>
        <w:color w:val="538135" w:themeColor="accent6" w:themeShade="BF"/>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6B06274"/>
    <w:multiLevelType w:val="hybridMultilevel"/>
    <w:tmpl w:val="9EC0A67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5" w15:restartNumberingAfterBreak="0">
    <w:nsid w:val="57C43395"/>
    <w:multiLevelType w:val="hybridMultilevel"/>
    <w:tmpl w:val="4AE83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37D33"/>
    <w:multiLevelType w:val="hybridMultilevel"/>
    <w:tmpl w:val="ABBE0756"/>
    <w:lvl w:ilvl="0" w:tplc="6ABAEE7E">
      <w:start w:val="1"/>
      <w:numFmt w:val="bullet"/>
      <w:lvlText w:val=""/>
      <w:lvlJc w:val="left"/>
      <w:pPr>
        <w:ind w:left="1506" w:hanging="360"/>
      </w:pPr>
      <w:rPr>
        <w:rFonts w:hint="default" w:ascii="Wingdings" w:hAnsi="Wingdings"/>
        <w:color w:val="538135" w:themeColor="accent6" w:themeShade="BF"/>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6A226EE8"/>
    <w:multiLevelType w:val="hybridMultilevel"/>
    <w:tmpl w:val="C6CC2B42"/>
    <w:lvl w:ilvl="0" w:tplc="EFF65F9A">
      <w:start w:val="3"/>
      <w:numFmt w:val="decimal"/>
      <w:lvlText w:val="%1-"/>
      <w:lvlJc w:val="left"/>
      <w:pPr>
        <w:ind w:left="720" w:hanging="360"/>
      </w:pPr>
      <w:rPr>
        <w:rFonts w:hint="default"/>
      </w:rPr>
    </w:lvl>
    <w:lvl w:ilvl="1" w:tplc="5AAAB33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5311C"/>
    <w:multiLevelType w:val="hybridMultilevel"/>
    <w:tmpl w:val="F94EEAC0"/>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9" w15:restartNumberingAfterBreak="0">
    <w:nsid w:val="6E242A81"/>
    <w:multiLevelType w:val="multilevel"/>
    <w:tmpl w:val="A3BC053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427C47"/>
    <w:multiLevelType w:val="hybridMultilevel"/>
    <w:tmpl w:val="CC30E5E8"/>
    <w:lvl w:ilvl="0" w:tplc="4C3040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47C95"/>
    <w:multiLevelType w:val="hybridMultilevel"/>
    <w:tmpl w:val="C2AE1928"/>
    <w:lvl w:ilvl="0" w:tplc="6ABAEE7E">
      <w:start w:val="1"/>
      <w:numFmt w:val="bullet"/>
      <w:lvlText w:val=""/>
      <w:lvlJc w:val="left"/>
      <w:pPr>
        <w:ind w:left="1146" w:hanging="360"/>
      </w:pPr>
      <w:rPr>
        <w:rFonts w:hint="default" w:ascii="Wingdings" w:hAnsi="Wingdings"/>
        <w:color w:val="538135" w:themeColor="accent6" w:themeShade="BF"/>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2" w15:restartNumberingAfterBreak="0">
    <w:nsid w:val="718A0596"/>
    <w:multiLevelType w:val="hybridMultilevel"/>
    <w:tmpl w:val="E9B8D282"/>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3" w15:restartNumberingAfterBreak="0">
    <w:nsid w:val="730B3CC0"/>
    <w:multiLevelType w:val="multilevel"/>
    <w:tmpl w:val="DD06EE0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15:restartNumberingAfterBreak="0">
    <w:nsid w:val="788D117F"/>
    <w:multiLevelType w:val="hybridMultilevel"/>
    <w:tmpl w:val="E3F84A2E"/>
    <w:lvl w:ilvl="0" w:tplc="6ABAEE7E">
      <w:start w:val="1"/>
      <w:numFmt w:val="bullet"/>
      <w:lvlText w:val=""/>
      <w:lvlJc w:val="left"/>
      <w:pPr>
        <w:ind w:left="1506" w:hanging="360"/>
      </w:pPr>
      <w:rPr>
        <w:rFonts w:hint="default" w:ascii="Wingdings" w:hAnsi="Wingdings"/>
        <w:color w:val="538135" w:themeColor="accent6" w:themeShade="BF"/>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D491ACD"/>
    <w:multiLevelType w:val="multilevel"/>
    <w:tmpl w:val="BCBA9D9E"/>
    <w:lvl w:ilvl="0">
      <w:start w:val="3"/>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7FA3727E"/>
    <w:multiLevelType w:val="hybridMultilevel"/>
    <w:tmpl w:val="DFA20A9C"/>
    <w:lvl w:ilvl="0" w:tplc="BCDA8D62">
      <w:start w:val="1"/>
      <w:numFmt w:val="bullet"/>
      <w:lvlText w:val=""/>
      <w:lvlJc w:val="left"/>
      <w:pPr>
        <w:ind w:left="1080" w:hanging="360"/>
      </w:pPr>
      <w:rPr>
        <w:rFonts w:hint="default" w:ascii="Symbol" w:hAnsi="Symbol"/>
        <w:color w:val="538135" w:themeColor="accent6"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96749181">
    <w:abstractNumId w:val="33"/>
  </w:num>
  <w:num w:numId="2" w16cid:durableId="625626002">
    <w:abstractNumId w:val="28"/>
  </w:num>
  <w:num w:numId="3" w16cid:durableId="200016051">
    <w:abstractNumId w:val="32"/>
  </w:num>
  <w:num w:numId="4" w16cid:durableId="498621135">
    <w:abstractNumId w:val="31"/>
  </w:num>
  <w:num w:numId="5" w16cid:durableId="91779596">
    <w:abstractNumId w:val="1"/>
  </w:num>
  <w:num w:numId="6" w16cid:durableId="54742736">
    <w:abstractNumId w:val="24"/>
  </w:num>
  <w:num w:numId="7" w16cid:durableId="1636451762">
    <w:abstractNumId w:val="8"/>
  </w:num>
  <w:num w:numId="8" w16cid:durableId="1582333159">
    <w:abstractNumId w:val="3"/>
  </w:num>
  <w:num w:numId="9" w16cid:durableId="1608535507">
    <w:abstractNumId w:val="23"/>
  </w:num>
  <w:num w:numId="10" w16cid:durableId="2015836586">
    <w:abstractNumId w:val="36"/>
  </w:num>
  <w:num w:numId="11" w16cid:durableId="1244294182">
    <w:abstractNumId w:val="21"/>
  </w:num>
  <w:num w:numId="12" w16cid:durableId="1027407921">
    <w:abstractNumId w:val="34"/>
  </w:num>
  <w:num w:numId="13" w16cid:durableId="169872574">
    <w:abstractNumId w:val="0"/>
  </w:num>
  <w:num w:numId="14" w16cid:durableId="1877741787">
    <w:abstractNumId w:val="26"/>
  </w:num>
  <w:num w:numId="15" w16cid:durableId="102042956">
    <w:abstractNumId w:val="9"/>
  </w:num>
  <w:num w:numId="16" w16cid:durableId="370112571">
    <w:abstractNumId w:val="35"/>
  </w:num>
  <w:num w:numId="17" w16cid:durableId="1403605737">
    <w:abstractNumId w:val="20"/>
  </w:num>
  <w:num w:numId="18" w16cid:durableId="874536931">
    <w:abstractNumId w:val="17"/>
  </w:num>
  <w:num w:numId="19" w16cid:durableId="604389002">
    <w:abstractNumId w:val="12"/>
  </w:num>
  <w:num w:numId="20" w16cid:durableId="1020815489">
    <w:abstractNumId w:val="25"/>
  </w:num>
  <w:num w:numId="21" w16cid:durableId="330254163">
    <w:abstractNumId w:val="7"/>
  </w:num>
  <w:num w:numId="22" w16cid:durableId="1629701652">
    <w:abstractNumId w:val="2"/>
  </w:num>
  <w:num w:numId="23" w16cid:durableId="964387462">
    <w:abstractNumId w:val="13"/>
  </w:num>
  <w:num w:numId="24" w16cid:durableId="430973310">
    <w:abstractNumId w:val="18"/>
  </w:num>
  <w:num w:numId="25" w16cid:durableId="504133534">
    <w:abstractNumId w:val="29"/>
  </w:num>
  <w:num w:numId="26" w16cid:durableId="30153338">
    <w:abstractNumId w:val="5"/>
  </w:num>
  <w:num w:numId="27" w16cid:durableId="714815976">
    <w:abstractNumId w:val="10"/>
  </w:num>
  <w:num w:numId="28" w16cid:durableId="653754352">
    <w:abstractNumId w:val="27"/>
  </w:num>
  <w:num w:numId="29" w16cid:durableId="2077821159">
    <w:abstractNumId w:val="30"/>
  </w:num>
  <w:num w:numId="30" w16cid:durableId="447092316">
    <w:abstractNumId w:val="15"/>
  </w:num>
  <w:num w:numId="31" w16cid:durableId="527446302">
    <w:abstractNumId w:val="16"/>
  </w:num>
  <w:num w:numId="32" w16cid:durableId="935939393">
    <w:abstractNumId w:val="6"/>
  </w:num>
  <w:num w:numId="33" w16cid:durableId="1245337740">
    <w:abstractNumId w:val="22"/>
  </w:num>
  <w:num w:numId="34" w16cid:durableId="596212108">
    <w:abstractNumId w:val="19"/>
  </w:num>
  <w:num w:numId="35" w16cid:durableId="1479881999">
    <w:abstractNumId w:val="14"/>
  </w:num>
  <w:num w:numId="36" w16cid:durableId="1441871004">
    <w:abstractNumId w:val="4"/>
  </w:num>
  <w:num w:numId="37" w16cid:durableId="1896775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D20F5C"/>
    <w:rsid w:val="00001285"/>
    <w:rsid w:val="00002B6A"/>
    <w:rsid w:val="00006BFC"/>
    <w:rsid w:val="00010328"/>
    <w:rsid w:val="00011E70"/>
    <w:rsid w:val="00011F3F"/>
    <w:rsid w:val="00014308"/>
    <w:rsid w:val="000152BD"/>
    <w:rsid w:val="00017645"/>
    <w:rsid w:val="00023392"/>
    <w:rsid w:val="000237AC"/>
    <w:rsid w:val="00023E70"/>
    <w:rsid w:val="00024AF0"/>
    <w:rsid w:val="000263B2"/>
    <w:rsid w:val="000263C1"/>
    <w:rsid w:val="0003131C"/>
    <w:rsid w:val="00033730"/>
    <w:rsid w:val="00033A1A"/>
    <w:rsid w:val="00034541"/>
    <w:rsid w:val="00034F60"/>
    <w:rsid w:val="00035F06"/>
    <w:rsid w:val="000362B0"/>
    <w:rsid w:val="00037409"/>
    <w:rsid w:val="0004441E"/>
    <w:rsid w:val="00045536"/>
    <w:rsid w:val="000457C3"/>
    <w:rsid w:val="000459A2"/>
    <w:rsid w:val="00050865"/>
    <w:rsid w:val="000514A1"/>
    <w:rsid w:val="000517D9"/>
    <w:rsid w:val="0005184C"/>
    <w:rsid w:val="00051FE2"/>
    <w:rsid w:val="00052927"/>
    <w:rsid w:val="00057580"/>
    <w:rsid w:val="0006004F"/>
    <w:rsid w:val="00060DAA"/>
    <w:rsid w:val="00063DD2"/>
    <w:rsid w:val="0006489C"/>
    <w:rsid w:val="00064A15"/>
    <w:rsid w:val="00064EB4"/>
    <w:rsid w:val="00065053"/>
    <w:rsid w:val="000718D7"/>
    <w:rsid w:val="00071EDF"/>
    <w:rsid w:val="000721A0"/>
    <w:rsid w:val="00076F7B"/>
    <w:rsid w:val="000770A4"/>
    <w:rsid w:val="000772A0"/>
    <w:rsid w:val="00080531"/>
    <w:rsid w:val="00082FBF"/>
    <w:rsid w:val="000842C9"/>
    <w:rsid w:val="00084D40"/>
    <w:rsid w:val="00084F5D"/>
    <w:rsid w:val="00086015"/>
    <w:rsid w:val="0008619E"/>
    <w:rsid w:val="000868D3"/>
    <w:rsid w:val="00086EFE"/>
    <w:rsid w:val="00091363"/>
    <w:rsid w:val="00091CFB"/>
    <w:rsid w:val="000930B0"/>
    <w:rsid w:val="00094C77"/>
    <w:rsid w:val="00095B97"/>
    <w:rsid w:val="00096935"/>
    <w:rsid w:val="000A07A3"/>
    <w:rsid w:val="000A0F9A"/>
    <w:rsid w:val="000A2EDD"/>
    <w:rsid w:val="000A3C94"/>
    <w:rsid w:val="000A4901"/>
    <w:rsid w:val="000A6C1E"/>
    <w:rsid w:val="000B141B"/>
    <w:rsid w:val="000B2BAF"/>
    <w:rsid w:val="000B2BFD"/>
    <w:rsid w:val="000B2E1D"/>
    <w:rsid w:val="000B34A2"/>
    <w:rsid w:val="000B6192"/>
    <w:rsid w:val="000B65CF"/>
    <w:rsid w:val="000C798B"/>
    <w:rsid w:val="000C7B3A"/>
    <w:rsid w:val="000C7DCA"/>
    <w:rsid w:val="000D2719"/>
    <w:rsid w:val="000D3A00"/>
    <w:rsid w:val="000D41AE"/>
    <w:rsid w:val="000D7D4B"/>
    <w:rsid w:val="000E39A4"/>
    <w:rsid w:val="000E47D3"/>
    <w:rsid w:val="000E62DE"/>
    <w:rsid w:val="000F02F1"/>
    <w:rsid w:val="000F04DC"/>
    <w:rsid w:val="000F5A2E"/>
    <w:rsid w:val="000F66E7"/>
    <w:rsid w:val="00100C45"/>
    <w:rsid w:val="001016BD"/>
    <w:rsid w:val="001024CA"/>
    <w:rsid w:val="001029B2"/>
    <w:rsid w:val="00106E86"/>
    <w:rsid w:val="0011096C"/>
    <w:rsid w:val="001133CB"/>
    <w:rsid w:val="00113FE4"/>
    <w:rsid w:val="0012002A"/>
    <w:rsid w:val="0012214B"/>
    <w:rsid w:val="00122AAD"/>
    <w:rsid w:val="00122E93"/>
    <w:rsid w:val="00124750"/>
    <w:rsid w:val="001302E4"/>
    <w:rsid w:val="00132A0A"/>
    <w:rsid w:val="00132E2A"/>
    <w:rsid w:val="00135446"/>
    <w:rsid w:val="00137434"/>
    <w:rsid w:val="001376A3"/>
    <w:rsid w:val="001402D0"/>
    <w:rsid w:val="00142695"/>
    <w:rsid w:val="00142906"/>
    <w:rsid w:val="00143449"/>
    <w:rsid w:val="00144127"/>
    <w:rsid w:val="001446A7"/>
    <w:rsid w:val="0014525B"/>
    <w:rsid w:val="0014715A"/>
    <w:rsid w:val="001530C3"/>
    <w:rsid w:val="00153AFC"/>
    <w:rsid w:val="00153E50"/>
    <w:rsid w:val="00155238"/>
    <w:rsid w:val="00155B2A"/>
    <w:rsid w:val="00156744"/>
    <w:rsid w:val="0015697D"/>
    <w:rsid w:val="00156D47"/>
    <w:rsid w:val="00157511"/>
    <w:rsid w:val="0015782C"/>
    <w:rsid w:val="00161916"/>
    <w:rsid w:val="00162F6B"/>
    <w:rsid w:val="001646FF"/>
    <w:rsid w:val="00164EBB"/>
    <w:rsid w:val="00165BFC"/>
    <w:rsid w:val="0016795A"/>
    <w:rsid w:val="0017147A"/>
    <w:rsid w:val="001719A1"/>
    <w:rsid w:val="001743A7"/>
    <w:rsid w:val="00174485"/>
    <w:rsid w:val="0017464A"/>
    <w:rsid w:val="00175766"/>
    <w:rsid w:val="00185D5A"/>
    <w:rsid w:val="0019033D"/>
    <w:rsid w:val="00191EF3"/>
    <w:rsid w:val="00192A84"/>
    <w:rsid w:val="0019550C"/>
    <w:rsid w:val="00196155"/>
    <w:rsid w:val="0019662C"/>
    <w:rsid w:val="00196E1A"/>
    <w:rsid w:val="00197620"/>
    <w:rsid w:val="00197FDE"/>
    <w:rsid w:val="00197FEA"/>
    <w:rsid w:val="001A02AE"/>
    <w:rsid w:val="001A11E6"/>
    <w:rsid w:val="001A28F9"/>
    <w:rsid w:val="001A565D"/>
    <w:rsid w:val="001A6506"/>
    <w:rsid w:val="001A6F8A"/>
    <w:rsid w:val="001A7648"/>
    <w:rsid w:val="001A7778"/>
    <w:rsid w:val="001B1518"/>
    <w:rsid w:val="001B16F9"/>
    <w:rsid w:val="001B2A80"/>
    <w:rsid w:val="001B3220"/>
    <w:rsid w:val="001B4009"/>
    <w:rsid w:val="001C1617"/>
    <w:rsid w:val="001C1D28"/>
    <w:rsid w:val="001C214D"/>
    <w:rsid w:val="001C22C5"/>
    <w:rsid w:val="001C2E69"/>
    <w:rsid w:val="001C51BF"/>
    <w:rsid w:val="001C59F0"/>
    <w:rsid w:val="001C7C65"/>
    <w:rsid w:val="001D0C45"/>
    <w:rsid w:val="001D2A04"/>
    <w:rsid w:val="001D4966"/>
    <w:rsid w:val="001D5372"/>
    <w:rsid w:val="001D6CA1"/>
    <w:rsid w:val="001D76D7"/>
    <w:rsid w:val="001E04E8"/>
    <w:rsid w:val="001E0E46"/>
    <w:rsid w:val="001E3C35"/>
    <w:rsid w:val="001E3FF9"/>
    <w:rsid w:val="001E55C2"/>
    <w:rsid w:val="001E5DB7"/>
    <w:rsid w:val="001E7B0E"/>
    <w:rsid w:val="001F4D82"/>
    <w:rsid w:val="001F5783"/>
    <w:rsid w:val="00203E1A"/>
    <w:rsid w:val="002057DB"/>
    <w:rsid w:val="00207B91"/>
    <w:rsid w:val="00207CD1"/>
    <w:rsid w:val="00207E24"/>
    <w:rsid w:val="002101E9"/>
    <w:rsid w:val="00210E92"/>
    <w:rsid w:val="002122F0"/>
    <w:rsid w:val="00212E4D"/>
    <w:rsid w:val="00220136"/>
    <w:rsid w:val="002255A1"/>
    <w:rsid w:val="00225D62"/>
    <w:rsid w:val="002266F9"/>
    <w:rsid w:val="002279A0"/>
    <w:rsid w:val="00231F1F"/>
    <w:rsid w:val="00232030"/>
    <w:rsid w:val="00232E2E"/>
    <w:rsid w:val="0024233E"/>
    <w:rsid w:val="0024537F"/>
    <w:rsid w:val="0024543F"/>
    <w:rsid w:val="00246CC3"/>
    <w:rsid w:val="002520ED"/>
    <w:rsid w:val="00252AA1"/>
    <w:rsid w:val="00252C28"/>
    <w:rsid w:val="00254407"/>
    <w:rsid w:val="00255F3E"/>
    <w:rsid w:val="0026013F"/>
    <w:rsid w:val="0026173F"/>
    <w:rsid w:val="00262497"/>
    <w:rsid w:val="00263199"/>
    <w:rsid w:val="00263AE4"/>
    <w:rsid w:val="002661F1"/>
    <w:rsid w:val="00270C5D"/>
    <w:rsid w:val="0027352D"/>
    <w:rsid w:val="00280045"/>
    <w:rsid w:val="00280D49"/>
    <w:rsid w:val="00284F5A"/>
    <w:rsid w:val="0028544A"/>
    <w:rsid w:val="002915B2"/>
    <w:rsid w:val="0029317E"/>
    <w:rsid w:val="002978C9"/>
    <w:rsid w:val="002A359E"/>
    <w:rsid w:val="002A3B80"/>
    <w:rsid w:val="002A5DB0"/>
    <w:rsid w:val="002B0727"/>
    <w:rsid w:val="002B116D"/>
    <w:rsid w:val="002B20E9"/>
    <w:rsid w:val="002B37E3"/>
    <w:rsid w:val="002B7DB6"/>
    <w:rsid w:val="002C03A8"/>
    <w:rsid w:val="002C108B"/>
    <w:rsid w:val="002C1FDE"/>
    <w:rsid w:val="002C2826"/>
    <w:rsid w:val="002C4DCA"/>
    <w:rsid w:val="002C7CD2"/>
    <w:rsid w:val="002D2A96"/>
    <w:rsid w:val="002D2BE7"/>
    <w:rsid w:val="002D437A"/>
    <w:rsid w:val="002D6721"/>
    <w:rsid w:val="002E00DF"/>
    <w:rsid w:val="002E45D8"/>
    <w:rsid w:val="002E5623"/>
    <w:rsid w:val="002E6185"/>
    <w:rsid w:val="002F0083"/>
    <w:rsid w:val="002F0EED"/>
    <w:rsid w:val="002F370A"/>
    <w:rsid w:val="002F3D15"/>
    <w:rsid w:val="002F724C"/>
    <w:rsid w:val="003008AC"/>
    <w:rsid w:val="003011FE"/>
    <w:rsid w:val="0030301E"/>
    <w:rsid w:val="003042C0"/>
    <w:rsid w:val="0030455B"/>
    <w:rsid w:val="00305823"/>
    <w:rsid w:val="00307310"/>
    <w:rsid w:val="00310D85"/>
    <w:rsid w:val="00311252"/>
    <w:rsid w:val="00311B2A"/>
    <w:rsid w:val="003122C0"/>
    <w:rsid w:val="00316290"/>
    <w:rsid w:val="0032080D"/>
    <w:rsid w:val="00321606"/>
    <w:rsid w:val="00321C56"/>
    <w:rsid w:val="003220DC"/>
    <w:rsid w:val="00322868"/>
    <w:rsid w:val="003266B1"/>
    <w:rsid w:val="00330AF6"/>
    <w:rsid w:val="00331271"/>
    <w:rsid w:val="00332791"/>
    <w:rsid w:val="0033458F"/>
    <w:rsid w:val="00335CD8"/>
    <w:rsid w:val="00335DFE"/>
    <w:rsid w:val="0033602F"/>
    <w:rsid w:val="00345512"/>
    <w:rsid w:val="0036488F"/>
    <w:rsid w:val="00364EF7"/>
    <w:rsid w:val="00365670"/>
    <w:rsid w:val="00366169"/>
    <w:rsid w:val="00366D46"/>
    <w:rsid w:val="00372389"/>
    <w:rsid w:val="0037296E"/>
    <w:rsid w:val="003735B9"/>
    <w:rsid w:val="0037416E"/>
    <w:rsid w:val="00375D27"/>
    <w:rsid w:val="00375D79"/>
    <w:rsid w:val="00377C37"/>
    <w:rsid w:val="00381235"/>
    <w:rsid w:val="003843D7"/>
    <w:rsid w:val="00385671"/>
    <w:rsid w:val="00386EF9"/>
    <w:rsid w:val="00390900"/>
    <w:rsid w:val="00390A97"/>
    <w:rsid w:val="00394532"/>
    <w:rsid w:val="003A1EB9"/>
    <w:rsid w:val="003A2600"/>
    <w:rsid w:val="003A28D6"/>
    <w:rsid w:val="003A348C"/>
    <w:rsid w:val="003A3E5B"/>
    <w:rsid w:val="003A51FA"/>
    <w:rsid w:val="003A5B85"/>
    <w:rsid w:val="003A6F37"/>
    <w:rsid w:val="003B10C0"/>
    <w:rsid w:val="003B227F"/>
    <w:rsid w:val="003B338A"/>
    <w:rsid w:val="003B56FD"/>
    <w:rsid w:val="003B5889"/>
    <w:rsid w:val="003B6FBE"/>
    <w:rsid w:val="003B723B"/>
    <w:rsid w:val="003C0748"/>
    <w:rsid w:val="003C535D"/>
    <w:rsid w:val="003C6AAB"/>
    <w:rsid w:val="003C74B1"/>
    <w:rsid w:val="003D0568"/>
    <w:rsid w:val="003D66E5"/>
    <w:rsid w:val="003D70B8"/>
    <w:rsid w:val="003D786A"/>
    <w:rsid w:val="003E33C1"/>
    <w:rsid w:val="003E367A"/>
    <w:rsid w:val="003E77A8"/>
    <w:rsid w:val="003E7BBF"/>
    <w:rsid w:val="003F0AEF"/>
    <w:rsid w:val="003F172A"/>
    <w:rsid w:val="003F2E80"/>
    <w:rsid w:val="003F359D"/>
    <w:rsid w:val="003F3BAC"/>
    <w:rsid w:val="003F5083"/>
    <w:rsid w:val="003F50D1"/>
    <w:rsid w:val="003F6E0A"/>
    <w:rsid w:val="003F7FA5"/>
    <w:rsid w:val="00400015"/>
    <w:rsid w:val="00400A6E"/>
    <w:rsid w:val="0040244B"/>
    <w:rsid w:val="00402897"/>
    <w:rsid w:val="0040340E"/>
    <w:rsid w:val="004037E6"/>
    <w:rsid w:val="00412E3B"/>
    <w:rsid w:val="00416CB7"/>
    <w:rsid w:val="00420515"/>
    <w:rsid w:val="00423805"/>
    <w:rsid w:val="00424A7B"/>
    <w:rsid w:val="00424C9B"/>
    <w:rsid w:val="00425E34"/>
    <w:rsid w:val="00427771"/>
    <w:rsid w:val="00430252"/>
    <w:rsid w:val="00430A97"/>
    <w:rsid w:val="00431B04"/>
    <w:rsid w:val="00432086"/>
    <w:rsid w:val="00433425"/>
    <w:rsid w:val="00435275"/>
    <w:rsid w:val="0043575B"/>
    <w:rsid w:val="0043666B"/>
    <w:rsid w:val="004413B2"/>
    <w:rsid w:val="004435DB"/>
    <w:rsid w:val="00446F32"/>
    <w:rsid w:val="00447E18"/>
    <w:rsid w:val="00461540"/>
    <w:rsid w:val="00466076"/>
    <w:rsid w:val="00470A69"/>
    <w:rsid w:val="00475579"/>
    <w:rsid w:val="00475845"/>
    <w:rsid w:val="004773CC"/>
    <w:rsid w:val="00477A8F"/>
    <w:rsid w:val="0048048A"/>
    <w:rsid w:val="004808C7"/>
    <w:rsid w:val="00482AD9"/>
    <w:rsid w:val="0048388F"/>
    <w:rsid w:val="00485F83"/>
    <w:rsid w:val="00490CCE"/>
    <w:rsid w:val="00491C79"/>
    <w:rsid w:val="0049432F"/>
    <w:rsid w:val="00495C0C"/>
    <w:rsid w:val="0049789A"/>
    <w:rsid w:val="004A1593"/>
    <w:rsid w:val="004A1A75"/>
    <w:rsid w:val="004A22DA"/>
    <w:rsid w:val="004A4DA4"/>
    <w:rsid w:val="004A664E"/>
    <w:rsid w:val="004B1A3E"/>
    <w:rsid w:val="004B600D"/>
    <w:rsid w:val="004B7995"/>
    <w:rsid w:val="004C1112"/>
    <w:rsid w:val="004C2DED"/>
    <w:rsid w:val="004C46A4"/>
    <w:rsid w:val="004C5669"/>
    <w:rsid w:val="004C7A73"/>
    <w:rsid w:val="004D21D6"/>
    <w:rsid w:val="004D566E"/>
    <w:rsid w:val="004D5D28"/>
    <w:rsid w:val="004D5F88"/>
    <w:rsid w:val="004E1733"/>
    <w:rsid w:val="004E3AE4"/>
    <w:rsid w:val="004E495E"/>
    <w:rsid w:val="004E5751"/>
    <w:rsid w:val="004E7852"/>
    <w:rsid w:val="004F22F3"/>
    <w:rsid w:val="004F361C"/>
    <w:rsid w:val="004F4382"/>
    <w:rsid w:val="00500101"/>
    <w:rsid w:val="005023A9"/>
    <w:rsid w:val="00504437"/>
    <w:rsid w:val="00506D95"/>
    <w:rsid w:val="005111E8"/>
    <w:rsid w:val="00512025"/>
    <w:rsid w:val="00512D33"/>
    <w:rsid w:val="005139F1"/>
    <w:rsid w:val="00514582"/>
    <w:rsid w:val="005161F8"/>
    <w:rsid w:val="0051751D"/>
    <w:rsid w:val="005213F1"/>
    <w:rsid w:val="0052433E"/>
    <w:rsid w:val="005247A9"/>
    <w:rsid w:val="00525AB1"/>
    <w:rsid w:val="00532E76"/>
    <w:rsid w:val="005337EF"/>
    <w:rsid w:val="00540535"/>
    <w:rsid w:val="00540A69"/>
    <w:rsid w:val="00540D34"/>
    <w:rsid w:val="005421DE"/>
    <w:rsid w:val="005430F9"/>
    <w:rsid w:val="00543D61"/>
    <w:rsid w:val="005441E9"/>
    <w:rsid w:val="00545CBA"/>
    <w:rsid w:val="00547C1E"/>
    <w:rsid w:val="005514B3"/>
    <w:rsid w:val="0055307A"/>
    <w:rsid w:val="00553660"/>
    <w:rsid w:val="00562351"/>
    <w:rsid w:val="005626C7"/>
    <w:rsid w:val="0056296C"/>
    <w:rsid w:val="005635B3"/>
    <w:rsid w:val="005638D0"/>
    <w:rsid w:val="00565C21"/>
    <w:rsid w:val="00566BD5"/>
    <w:rsid w:val="00567876"/>
    <w:rsid w:val="005704F7"/>
    <w:rsid w:val="005720C3"/>
    <w:rsid w:val="00572286"/>
    <w:rsid w:val="0057232F"/>
    <w:rsid w:val="005730D8"/>
    <w:rsid w:val="00574A6B"/>
    <w:rsid w:val="00575BBF"/>
    <w:rsid w:val="00576237"/>
    <w:rsid w:val="005771FB"/>
    <w:rsid w:val="005772D8"/>
    <w:rsid w:val="0058338C"/>
    <w:rsid w:val="00585FF7"/>
    <w:rsid w:val="00586DEE"/>
    <w:rsid w:val="005873AF"/>
    <w:rsid w:val="005969FB"/>
    <w:rsid w:val="005A03D9"/>
    <w:rsid w:val="005A266F"/>
    <w:rsid w:val="005A2CF5"/>
    <w:rsid w:val="005A4A4C"/>
    <w:rsid w:val="005A5745"/>
    <w:rsid w:val="005A67FB"/>
    <w:rsid w:val="005A7FF4"/>
    <w:rsid w:val="005B2B92"/>
    <w:rsid w:val="005B3B78"/>
    <w:rsid w:val="005C01B1"/>
    <w:rsid w:val="005C10ED"/>
    <w:rsid w:val="005C1481"/>
    <w:rsid w:val="005C1846"/>
    <w:rsid w:val="005C2207"/>
    <w:rsid w:val="005C664D"/>
    <w:rsid w:val="005D30B6"/>
    <w:rsid w:val="005D36FD"/>
    <w:rsid w:val="005D7088"/>
    <w:rsid w:val="005D78C3"/>
    <w:rsid w:val="005E14A2"/>
    <w:rsid w:val="005E3D61"/>
    <w:rsid w:val="005E4BAB"/>
    <w:rsid w:val="005E4D85"/>
    <w:rsid w:val="005F0762"/>
    <w:rsid w:val="005F1561"/>
    <w:rsid w:val="005F36DE"/>
    <w:rsid w:val="00600508"/>
    <w:rsid w:val="00600C6B"/>
    <w:rsid w:val="006053E4"/>
    <w:rsid w:val="00606169"/>
    <w:rsid w:val="006069DE"/>
    <w:rsid w:val="00607643"/>
    <w:rsid w:val="006116FE"/>
    <w:rsid w:val="00612FEC"/>
    <w:rsid w:val="00614894"/>
    <w:rsid w:val="00614FDD"/>
    <w:rsid w:val="00615B2B"/>
    <w:rsid w:val="00615C4E"/>
    <w:rsid w:val="00617458"/>
    <w:rsid w:val="00617FC5"/>
    <w:rsid w:val="006217C1"/>
    <w:rsid w:val="00623637"/>
    <w:rsid w:val="006256C6"/>
    <w:rsid w:val="00631057"/>
    <w:rsid w:val="006353E0"/>
    <w:rsid w:val="006408D0"/>
    <w:rsid w:val="006411FC"/>
    <w:rsid w:val="00643E77"/>
    <w:rsid w:val="0064714A"/>
    <w:rsid w:val="006542A9"/>
    <w:rsid w:val="006545D0"/>
    <w:rsid w:val="00654AFB"/>
    <w:rsid w:val="006568D2"/>
    <w:rsid w:val="00657B2D"/>
    <w:rsid w:val="006602AE"/>
    <w:rsid w:val="00665E63"/>
    <w:rsid w:val="006661C6"/>
    <w:rsid w:val="006715AF"/>
    <w:rsid w:val="00675EFA"/>
    <w:rsid w:val="00677611"/>
    <w:rsid w:val="00681625"/>
    <w:rsid w:val="00682A89"/>
    <w:rsid w:val="00684AE9"/>
    <w:rsid w:val="006859BB"/>
    <w:rsid w:val="00686C77"/>
    <w:rsid w:val="0069145E"/>
    <w:rsid w:val="0069305B"/>
    <w:rsid w:val="0069430E"/>
    <w:rsid w:val="00694AB2"/>
    <w:rsid w:val="00694ADC"/>
    <w:rsid w:val="00697F2B"/>
    <w:rsid w:val="00697FC5"/>
    <w:rsid w:val="006A527B"/>
    <w:rsid w:val="006A5790"/>
    <w:rsid w:val="006A6CE8"/>
    <w:rsid w:val="006A77FD"/>
    <w:rsid w:val="006B0442"/>
    <w:rsid w:val="006B0946"/>
    <w:rsid w:val="006B2F34"/>
    <w:rsid w:val="006B67E0"/>
    <w:rsid w:val="006B75C4"/>
    <w:rsid w:val="006C1541"/>
    <w:rsid w:val="006C4426"/>
    <w:rsid w:val="006C59B4"/>
    <w:rsid w:val="006C7621"/>
    <w:rsid w:val="006C773C"/>
    <w:rsid w:val="006D0872"/>
    <w:rsid w:val="006D554E"/>
    <w:rsid w:val="006D7EFE"/>
    <w:rsid w:val="006E0345"/>
    <w:rsid w:val="006E14D7"/>
    <w:rsid w:val="006E2722"/>
    <w:rsid w:val="006F26D7"/>
    <w:rsid w:val="006F2716"/>
    <w:rsid w:val="006F5070"/>
    <w:rsid w:val="006F5133"/>
    <w:rsid w:val="006F5887"/>
    <w:rsid w:val="006F7183"/>
    <w:rsid w:val="006F7833"/>
    <w:rsid w:val="00702F36"/>
    <w:rsid w:val="0070762C"/>
    <w:rsid w:val="007078A9"/>
    <w:rsid w:val="00711458"/>
    <w:rsid w:val="00711C0C"/>
    <w:rsid w:val="007133F7"/>
    <w:rsid w:val="00713B6F"/>
    <w:rsid w:val="00714CA1"/>
    <w:rsid w:val="00715008"/>
    <w:rsid w:val="007154DC"/>
    <w:rsid w:val="007155A3"/>
    <w:rsid w:val="00720708"/>
    <w:rsid w:val="007228E2"/>
    <w:rsid w:val="00722905"/>
    <w:rsid w:val="00722A5D"/>
    <w:rsid w:val="00722CA8"/>
    <w:rsid w:val="007241C0"/>
    <w:rsid w:val="00726A82"/>
    <w:rsid w:val="007340DB"/>
    <w:rsid w:val="007349E9"/>
    <w:rsid w:val="00736621"/>
    <w:rsid w:val="00740AAE"/>
    <w:rsid w:val="00740ACF"/>
    <w:rsid w:val="00745E56"/>
    <w:rsid w:val="00746C4A"/>
    <w:rsid w:val="00750F2C"/>
    <w:rsid w:val="00751209"/>
    <w:rsid w:val="007549E8"/>
    <w:rsid w:val="0075531F"/>
    <w:rsid w:val="007566F3"/>
    <w:rsid w:val="007567DB"/>
    <w:rsid w:val="00770C9B"/>
    <w:rsid w:val="00773FED"/>
    <w:rsid w:val="007751A0"/>
    <w:rsid w:val="007768DA"/>
    <w:rsid w:val="007800BF"/>
    <w:rsid w:val="00780E84"/>
    <w:rsid w:val="00782B56"/>
    <w:rsid w:val="007843AF"/>
    <w:rsid w:val="00790824"/>
    <w:rsid w:val="00790D68"/>
    <w:rsid w:val="00790E22"/>
    <w:rsid w:val="007919FE"/>
    <w:rsid w:val="00792ED4"/>
    <w:rsid w:val="00792EE9"/>
    <w:rsid w:val="00793C90"/>
    <w:rsid w:val="00796467"/>
    <w:rsid w:val="007A0BE7"/>
    <w:rsid w:val="007A4B36"/>
    <w:rsid w:val="007A4F9A"/>
    <w:rsid w:val="007A621D"/>
    <w:rsid w:val="007B194A"/>
    <w:rsid w:val="007B59C5"/>
    <w:rsid w:val="007B7350"/>
    <w:rsid w:val="007C1042"/>
    <w:rsid w:val="007C1308"/>
    <w:rsid w:val="007C13B4"/>
    <w:rsid w:val="007C2A6A"/>
    <w:rsid w:val="007C47EC"/>
    <w:rsid w:val="007C4873"/>
    <w:rsid w:val="007C5152"/>
    <w:rsid w:val="007C5EC8"/>
    <w:rsid w:val="007C7CFB"/>
    <w:rsid w:val="007D1F2A"/>
    <w:rsid w:val="007D2A5D"/>
    <w:rsid w:val="007D2D9E"/>
    <w:rsid w:val="007D3533"/>
    <w:rsid w:val="007D4ED7"/>
    <w:rsid w:val="007D78D4"/>
    <w:rsid w:val="007E2C64"/>
    <w:rsid w:val="007F1C18"/>
    <w:rsid w:val="007F36F3"/>
    <w:rsid w:val="007F6930"/>
    <w:rsid w:val="0080092C"/>
    <w:rsid w:val="00801F17"/>
    <w:rsid w:val="0080217A"/>
    <w:rsid w:val="00802810"/>
    <w:rsid w:val="008044B4"/>
    <w:rsid w:val="008055B4"/>
    <w:rsid w:val="00806C6E"/>
    <w:rsid w:val="00810AC9"/>
    <w:rsid w:val="00814CAD"/>
    <w:rsid w:val="008175E0"/>
    <w:rsid w:val="008209C7"/>
    <w:rsid w:val="008232EA"/>
    <w:rsid w:val="00831598"/>
    <w:rsid w:val="00836537"/>
    <w:rsid w:val="00837776"/>
    <w:rsid w:val="00841418"/>
    <w:rsid w:val="00841828"/>
    <w:rsid w:val="00843029"/>
    <w:rsid w:val="00850F28"/>
    <w:rsid w:val="00851657"/>
    <w:rsid w:val="00851AC1"/>
    <w:rsid w:val="00853A30"/>
    <w:rsid w:val="00855D38"/>
    <w:rsid w:val="00861702"/>
    <w:rsid w:val="00863EB9"/>
    <w:rsid w:val="00865D52"/>
    <w:rsid w:val="008660D3"/>
    <w:rsid w:val="00866184"/>
    <w:rsid w:val="00867ECE"/>
    <w:rsid w:val="00872C17"/>
    <w:rsid w:val="00874B0C"/>
    <w:rsid w:val="008805AD"/>
    <w:rsid w:val="00882443"/>
    <w:rsid w:val="00882AF4"/>
    <w:rsid w:val="0088326C"/>
    <w:rsid w:val="0088371E"/>
    <w:rsid w:val="00883FD0"/>
    <w:rsid w:val="00887B15"/>
    <w:rsid w:val="00891EA8"/>
    <w:rsid w:val="008925B1"/>
    <w:rsid w:val="00893DA8"/>
    <w:rsid w:val="00894F37"/>
    <w:rsid w:val="00897B52"/>
    <w:rsid w:val="00897F88"/>
    <w:rsid w:val="008A2506"/>
    <w:rsid w:val="008A3991"/>
    <w:rsid w:val="008A719F"/>
    <w:rsid w:val="008A7DAD"/>
    <w:rsid w:val="008B029D"/>
    <w:rsid w:val="008B0E38"/>
    <w:rsid w:val="008B3AEC"/>
    <w:rsid w:val="008B4297"/>
    <w:rsid w:val="008B468F"/>
    <w:rsid w:val="008B4EAB"/>
    <w:rsid w:val="008B6A03"/>
    <w:rsid w:val="008C2512"/>
    <w:rsid w:val="008C2572"/>
    <w:rsid w:val="008C76A2"/>
    <w:rsid w:val="008C7DCB"/>
    <w:rsid w:val="008D223E"/>
    <w:rsid w:val="008D364C"/>
    <w:rsid w:val="008D3F1F"/>
    <w:rsid w:val="008D3F67"/>
    <w:rsid w:val="008E25EA"/>
    <w:rsid w:val="008E2618"/>
    <w:rsid w:val="008E4613"/>
    <w:rsid w:val="008F1D9E"/>
    <w:rsid w:val="008F2748"/>
    <w:rsid w:val="008F6385"/>
    <w:rsid w:val="008F78FC"/>
    <w:rsid w:val="008F7D2E"/>
    <w:rsid w:val="00901801"/>
    <w:rsid w:val="0090185C"/>
    <w:rsid w:val="0090299D"/>
    <w:rsid w:val="00903536"/>
    <w:rsid w:val="00903595"/>
    <w:rsid w:val="00904791"/>
    <w:rsid w:val="00906FFB"/>
    <w:rsid w:val="009101B9"/>
    <w:rsid w:val="009101FC"/>
    <w:rsid w:val="00911850"/>
    <w:rsid w:val="00911C15"/>
    <w:rsid w:val="0091402B"/>
    <w:rsid w:val="00914A40"/>
    <w:rsid w:val="0091516B"/>
    <w:rsid w:val="00917A44"/>
    <w:rsid w:val="009204A6"/>
    <w:rsid w:val="009210C0"/>
    <w:rsid w:val="009221F6"/>
    <w:rsid w:val="009226D5"/>
    <w:rsid w:val="00925B8D"/>
    <w:rsid w:val="0092651C"/>
    <w:rsid w:val="0093083F"/>
    <w:rsid w:val="00932E59"/>
    <w:rsid w:val="0093344C"/>
    <w:rsid w:val="00933820"/>
    <w:rsid w:val="00934BAD"/>
    <w:rsid w:val="00937D24"/>
    <w:rsid w:val="00940D6A"/>
    <w:rsid w:val="00941C92"/>
    <w:rsid w:val="009446DE"/>
    <w:rsid w:val="009476A7"/>
    <w:rsid w:val="0095393C"/>
    <w:rsid w:val="0095751A"/>
    <w:rsid w:val="0096080C"/>
    <w:rsid w:val="009618C9"/>
    <w:rsid w:val="00963FEF"/>
    <w:rsid w:val="00965522"/>
    <w:rsid w:val="009705CF"/>
    <w:rsid w:val="00970954"/>
    <w:rsid w:val="009746E9"/>
    <w:rsid w:val="00980547"/>
    <w:rsid w:val="009806CE"/>
    <w:rsid w:val="00980E7F"/>
    <w:rsid w:val="00981FBB"/>
    <w:rsid w:val="00982078"/>
    <w:rsid w:val="00983E57"/>
    <w:rsid w:val="0098449D"/>
    <w:rsid w:val="00985BEF"/>
    <w:rsid w:val="009923E9"/>
    <w:rsid w:val="00993321"/>
    <w:rsid w:val="009A0159"/>
    <w:rsid w:val="009A2A71"/>
    <w:rsid w:val="009A4464"/>
    <w:rsid w:val="009A4FC9"/>
    <w:rsid w:val="009A5B25"/>
    <w:rsid w:val="009A7023"/>
    <w:rsid w:val="009A7052"/>
    <w:rsid w:val="009B0DAA"/>
    <w:rsid w:val="009B381F"/>
    <w:rsid w:val="009B5CB6"/>
    <w:rsid w:val="009B707D"/>
    <w:rsid w:val="009C189C"/>
    <w:rsid w:val="009C2B3D"/>
    <w:rsid w:val="009C7CC8"/>
    <w:rsid w:val="009D1A27"/>
    <w:rsid w:val="009D1A41"/>
    <w:rsid w:val="009D2D04"/>
    <w:rsid w:val="009D3F6B"/>
    <w:rsid w:val="009D480C"/>
    <w:rsid w:val="009E42D3"/>
    <w:rsid w:val="009E58C5"/>
    <w:rsid w:val="009E5908"/>
    <w:rsid w:val="009E5C2F"/>
    <w:rsid w:val="009F078A"/>
    <w:rsid w:val="009F083E"/>
    <w:rsid w:val="009F1FEF"/>
    <w:rsid w:val="009F2082"/>
    <w:rsid w:val="009F3F93"/>
    <w:rsid w:val="00A0152B"/>
    <w:rsid w:val="00A03A5E"/>
    <w:rsid w:val="00A0537C"/>
    <w:rsid w:val="00A05A1B"/>
    <w:rsid w:val="00A065AC"/>
    <w:rsid w:val="00A108B4"/>
    <w:rsid w:val="00A12EA2"/>
    <w:rsid w:val="00A13A28"/>
    <w:rsid w:val="00A14CBF"/>
    <w:rsid w:val="00A163E2"/>
    <w:rsid w:val="00A16FD6"/>
    <w:rsid w:val="00A20A92"/>
    <w:rsid w:val="00A2167F"/>
    <w:rsid w:val="00A22804"/>
    <w:rsid w:val="00A246C0"/>
    <w:rsid w:val="00A2562C"/>
    <w:rsid w:val="00A26717"/>
    <w:rsid w:val="00A26E50"/>
    <w:rsid w:val="00A30A2B"/>
    <w:rsid w:val="00A30DC1"/>
    <w:rsid w:val="00A30FBF"/>
    <w:rsid w:val="00A339F4"/>
    <w:rsid w:val="00A34C43"/>
    <w:rsid w:val="00A35C3F"/>
    <w:rsid w:val="00A42B55"/>
    <w:rsid w:val="00A43358"/>
    <w:rsid w:val="00A441B7"/>
    <w:rsid w:val="00A5125A"/>
    <w:rsid w:val="00A516C8"/>
    <w:rsid w:val="00A51E5B"/>
    <w:rsid w:val="00A565AF"/>
    <w:rsid w:val="00A61B4C"/>
    <w:rsid w:val="00A62708"/>
    <w:rsid w:val="00A71FAA"/>
    <w:rsid w:val="00A72A9F"/>
    <w:rsid w:val="00A73F18"/>
    <w:rsid w:val="00A7578E"/>
    <w:rsid w:val="00A770AD"/>
    <w:rsid w:val="00A77EBE"/>
    <w:rsid w:val="00A80157"/>
    <w:rsid w:val="00A806C2"/>
    <w:rsid w:val="00A823B8"/>
    <w:rsid w:val="00A83822"/>
    <w:rsid w:val="00A87124"/>
    <w:rsid w:val="00A912A5"/>
    <w:rsid w:val="00A93D47"/>
    <w:rsid w:val="00A943A0"/>
    <w:rsid w:val="00A96B8A"/>
    <w:rsid w:val="00A96FAC"/>
    <w:rsid w:val="00AA1B04"/>
    <w:rsid w:val="00AA1E96"/>
    <w:rsid w:val="00AA2482"/>
    <w:rsid w:val="00AA4173"/>
    <w:rsid w:val="00AA4C87"/>
    <w:rsid w:val="00AA4CC6"/>
    <w:rsid w:val="00AB0CDB"/>
    <w:rsid w:val="00AB4E83"/>
    <w:rsid w:val="00AC48CF"/>
    <w:rsid w:val="00AC5935"/>
    <w:rsid w:val="00AC6882"/>
    <w:rsid w:val="00AC748F"/>
    <w:rsid w:val="00AC7989"/>
    <w:rsid w:val="00AD085C"/>
    <w:rsid w:val="00AD0B54"/>
    <w:rsid w:val="00AD10A4"/>
    <w:rsid w:val="00AD13B5"/>
    <w:rsid w:val="00AD2021"/>
    <w:rsid w:val="00AD3D19"/>
    <w:rsid w:val="00AD3E4D"/>
    <w:rsid w:val="00AE0D7B"/>
    <w:rsid w:val="00AE13DA"/>
    <w:rsid w:val="00AE25D5"/>
    <w:rsid w:val="00AE3914"/>
    <w:rsid w:val="00AE3A01"/>
    <w:rsid w:val="00AE4CE2"/>
    <w:rsid w:val="00AE776A"/>
    <w:rsid w:val="00AF3D61"/>
    <w:rsid w:val="00B0255E"/>
    <w:rsid w:val="00B0555D"/>
    <w:rsid w:val="00B07351"/>
    <w:rsid w:val="00B1212E"/>
    <w:rsid w:val="00B128BA"/>
    <w:rsid w:val="00B13F94"/>
    <w:rsid w:val="00B14A92"/>
    <w:rsid w:val="00B1585B"/>
    <w:rsid w:val="00B207D0"/>
    <w:rsid w:val="00B22123"/>
    <w:rsid w:val="00B24D89"/>
    <w:rsid w:val="00B2591A"/>
    <w:rsid w:val="00B26717"/>
    <w:rsid w:val="00B32789"/>
    <w:rsid w:val="00B3287C"/>
    <w:rsid w:val="00B3292A"/>
    <w:rsid w:val="00B32B40"/>
    <w:rsid w:val="00B36682"/>
    <w:rsid w:val="00B409D3"/>
    <w:rsid w:val="00B412DA"/>
    <w:rsid w:val="00B42F0C"/>
    <w:rsid w:val="00B45701"/>
    <w:rsid w:val="00B50FF3"/>
    <w:rsid w:val="00B51DDC"/>
    <w:rsid w:val="00B542CC"/>
    <w:rsid w:val="00B55157"/>
    <w:rsid w:val="00B60FA3"/>
    <w:rsid w:val="00B619C4"/>
    <w:rsid w:val="00B64836"/>
    <w:rsid w:val="00B65412"/>
    <w:rsid w:val="00B67AB6"/>
    <w:rsid w:val="00B67E6A"/>
    <w:rsid w:val="00B768A4"/>
    <w:rsid w:val="00B775C1"/>
    <w:rsid w:val="00B81A67"/>
    <w:rsid w:val="00B83FC6"/>
    <w:rsid w:val="00B852C4"/>
    <w:rsid w:val="00B866B7"/>
    <w:rsid w:val="00B91701"/>
    <w:rsid w:val="00B96C60"/>
    <w:rsid w:val="00B97698"/>
    <w:rsid w:val="00B97E7B"/>
    <w:rsid w:val="00BA15A7"/>
    <w:rsid w:val="00BA1C0D"/>
    <w:rsid w:val="00BA38F9"/>
    <w:rsid w:val="00BA4E59"/>
    <w:rsid w:val="00BA57A7"/>
    <w:rsid w:val="00BA5FB9"/>
    <w:rsid w:val="00BA6B7C"/>
    <w:rsid w:val="00BB2407"/>
    <w:rsid w:val="00BB68D9"/>
    <w:rsid w:val="00BC29FF"/>
    <w:rsid w:val="00BC3AD6"/>
    <w:rsid w:val="00BC3BCE"/>
    <w:rsid w:val="00BC45BD"/>
    <w:rsid w:val="00BC5479"/>
    <w:rsid w:val="00BC71FD"/>
    <w:rsid w:val="00BD0775"/>
    <w:rsid w:val="00BD1493"/>
    <w:rsid w:val="00BD3158"/>
    <w:rsid w:val="00BD485A"/>
    <w:rsid w:val="00BD5529"/>
    <w:rsid w:val="00BD5A25"/>
    <w:rsid w:val="00BD6048"/>
    <w:rsid w:val="00BD64E2"/>
    <w:rsid w:val="00BD6711"/>
    <w:rsid w:val="00BD79A9"/>
    <w:rsid w:val="00BE21A6"/>
    <w:rsid w:val="00BE335E"/>
    <w:rsid w:val="00BE6FC3"/>
    <w:rsid w:val="00BF1439"/>
    <w:rsid w:val="00BF3C39"/>
    <w:rsid w:val="00BF3E84"/>
    <w:rsid w:val="00BF4905"/>
    <w:rsid w:val="00BF5568"/>
    <w:rsid w:val="00BF5858"/>
    <w:rsid w:val="00BF6F6C"/>
    <w:rsid w:val="00BF74EA"/>
    <w:rsid w:val="00C05F2F"/>
    <w:rsid w:val="00C06557"/>
    <w:rsid w:val="00C07395"/>
    <w:rsid w:val="00C1332C"/>
    <w:rsid w:val="00C13EED"/>
    <w:rsid w:val="00C1438E"/>
    <w:rsid w:val="00C15E7C"/>
    <w:rsid w:val="00C15FD0"/>
    <w:rsid w:val="00C16ACC"/>
    <w:rsid w:val="00C17BA7"/>
    <w:rsid w:val="00C2017E"/>
    <w:rsid w:val="00C21BC8"/>
    <w:rsid w:val="00C22EF3"/>
    <w:rsid w:val="00C25A44"/>
    <w:rsid w:val="00C26462"/>
    <w:rsid w:val="00C27E75"/>
    <w:rsid w:val="00C40693"/>
    <w:rsid w:val="00C40698"/>
    <w:rsid w:val="00C4098B"/>
    <w:rsid w:val="00C430CD"/>
    <w:rsid w:val="00C43177"/>
    <w:rsid w:val="00C43D14"/>
    <w:rsid w:val="00C445CE"/>
    <w:rsid w:val="00C448F7"/>
    <w:rsid w:val="00C453F9"/>
    <w:rsid w:val="00C46176"/>
    <w:rsid w:val="00C50D9D"/>
    <w:rsid w:val="00C52EE9"/>
    <w:rsid w:val="00C669E5"/>
    <w:rsid w:val="00C67F11"/>
    <w:rsid w:val="00C71176"/>
    <w:rsid w:val="00C739FA"/>
    <w:rsid w:val="00C764B5"/>
    <w:rsid w:val="00C80944"/>
    <w:rsid w:val="00C846A7"/>
    <w:rsid w:val="00C9015A"/>
    <w:rsid w:val="00C92FE9"/>
    <w:rsid w:val="00C94D03"/>
    <w:rsid w:val="00C95F5F"/>
    <w:rsid w:val="00C96713"/>
    <w:rsid w:val="00C96B07"/>
    <w:rsid w:val="00CA1F6C"/>
    <w:rsid w:val="00CA46A5"/>
    <w:rsid w:val="00CA4FF3"/>
    <w:rsid w:val="00CA5630"/>
    <w:rsid w:val="00CA5AC0"/>
    <w:rsid w:val="00CA68F8"/>
    <w:rsid w:val="00CA7524"/>
    <w:rsid w:val="00CA7EA9"/>
    <w:rsid w:val="00CB0424"/>
    <w:rsid w:val="00CB2551"/>
    <w:rsid w:val="00CB2EE4"/>
    <w:rsid w:val="00CB44F9"/>
    <w:rsid w:val="00CB7B8A"/>
    <w:rsid w:val="00CB7E60"/>
    <w:rsid w:val="00CC01B4"/>
    <w:rsid w:val="00CC0CC5"/>
    <w:rsid w:val="00CC0CE1"/>
    <w:rsid w:val="00CC31F9"/>
    <w:rsid w:val="00CC445F"/>
    <w:rsid w:val="00CC58C9"/>
    <w:rsid w:val="00CC67B3"/>
    <w:rsid w:val="00CD2348"/>
    <w:rsid w:val="00CD2843"/>
    <w:rsid w:val="00CD394E"/>
    <w:rsid w:val="00CD4CE3"/>
    <w:rsid w:val="00CD587D"/>
    <w:rsid w:val="00CD6104"/>
    <w:rsid w:val="00CD616F"/>
    <w:rsid w:val="00CD66B2"/>
    <w:rsid w:val="00CD6772"/>
    <w:rsid w:val="00CD7580"/>
    <w:rsid w:val="00CE1250"/>
    <w:rsid w:val="00CE20AE"/>
    <w:rsid w:val="00CE5690"/>
    <w:rsid w:val="00CF22F4"/>
    <w:rsid w:val="00CF2694"/>
    <w:rsid w:val="00CF4092"/>
    <w:rsid w:val="00CF55CD"/>
    <w:rsid w:val="00D0001F"/>
    <w:rsid w:val="00D00C74"/>
    <w:rsid w:val="00D066B6"/>
    <w:rsid w:val="00D103B9"/>
    <w:rsid w:val="00D11D94"/>
    <w:rsid w:val="00D127E1"/>
    <w:rsid w:val="00D202BC"/>
    <w:rsid w:val="00D20C6A"/>
    <w:rsid w:val="00D25921"/>
    <w:rsid w:val="00D26D03"/>
    <w:rsid w:val="00D303BC"/>
    <w:rsid w:val="00D33382"/>
    <w:rsid w:val="00D35ED3"/>
    <w:rsid w:val="00D36DA6"/>
    <w:rsid w:val="00D40D06"/>
    <w:rsid w:val="00D422DA"/>
    <w:rsid w:val="00D443DB"/>
    <w:rsid w:val="00D44EBA"/>
    <w:rsid w:val="00D45289"/>
    <w:rsid w:val="00D5141D"/>
    <w:rsid w:val="00D57B1B"/>
    <w:rsid w:val="00D57E2A"/>
    <w:rsid w:val="00D623BE"/>
    <w:rsid w:val="00D647D7"/>
    <w:rsid w:val="00D669B1"/>
    <w:rsid w:val="00D6709E"/>
    <w:rsid w:val="00D713B8"/>
    <w:rsid w:val="00D716EC"/>
    <w:rsid w:val="00D717BA"/>
    <w:rsid w:val="00D72C2A"/>
    <w:rsid w:val="00D73BBB"/>
    <w:rsid w:val="00D73E7C"/>
    <w:rsid w:val="00D808CB"/>
    <w:rsid w:val="00D82023"/>
    <w:rsid w:val="00D82BC6"/>
    <w:rsid w:val="00D84245"/>
    <w:rsid w:val="00D85699"/>
    <w:rsid w:val="00D91785"/>
    <w:rsid w:val="00D91A43"/>
    <w:rsid w:val="00D96BED"/>
    <w:rsid w:val="00DA1B3F"/>
    <w:rsid w:val="00DA26D3"/>
    <w:rsid w:val="00DA5C1B"/>
    <w:rsid w:val="00DA68A5"/>
    <w:rsid w:val="00DB16AA"/>
    <w:rsid w:val="00DB1BF5"/>
    <w:rsid w:val="00DB3256"/>
    <w:rsid w:val="00DB46E5"/>
    <w:rsid w:val="00DB4DEC"/>
    <w:rsid w:val="00DB6C20"/>
    <w:rsid w:val="00DB71C7"/>
    <w:rsid w:val="00DB74EB"/>
    <w:rsid w:val="00DC2E9E"/>
    <w:rsid w:val="00DC3BB7"/>
    <w:rsid w:val="00DC52B0"/>
    <w:rsid w:val="00DC5BF7"/>
    <w:rsid w:val="00DD0BC7"/>
    <w:rsid w:val="00DD2117"/>
    <w:rsid w:val="00DD2D35"/>
    <w:rsid w:val="00DD4753"/>
    <w:rsid w:val="00DD48D4"/>
    <w:rsid w:val="00DD6C95"/>
    <w:rsid w:val="00DD6ECB"/>
    <w:rsid w:val="00DE0905"/>
    <w:rsid w:val="00DE5516"/>
    <w:rsid w:val="00DE70BA"/>
    <w:rsid w:val="00DE7C5B"/>
    <w:rsid w:val="00DF143E"/>
    <w:rsid w:val="00DF41BF"/>
    <w:rsid w:val="00DF639E"/>
    <w:rsid w:val="00DF7D12"/>
    <w:rsid w:val="00E007BB"/>
    <w:rsid w:val="00E0152A"/>
    <w:rsid w:val="00E019C4"/>
    <w:rsid w:val="00E01C2E"/>
    <w:rsid w:val="00E04F5C"/>
    <w:rsid w:val="00E05AEE"/>
    <w:rsid w:val="00E1289A"/>
    <w:rsid w:val="00E13875"/>
    <w:rsid w:val="00E14A2E"/>
    <w:rsid w:val="00E1575F"/>
    <w:rsid w:val="00E15AC7"/>
    <w:rsid w:val="00E166EC"/>
    <w:rsid w:val="00E17874"/>
    <w:rsid w:val="00E203EE"/>
    <w:rsid w:val="00E2234A"/>
    <w:rsid w:val="00E2276E"/>
    <w:rsid w:val="00E22F90"/>
    <w:rsid w:val="00E24A72"/>
    <w:rsid w:val="00E24D99"/>
    <w:rsid w:val="00E25C14"/>
    <w:rsid w:val="00E25C91"/>
    <w:rsid w:val="00E33742"/>
    <w:rsid w:val="00E36A85"/>
    <w:rsid w:val="00E427DF"/>
    <w:rsid w:val="00E468A1"/>
    <w:rsid w:val="00E46DD9"/>
    <w:rsid w:val="00E505A3"/>
    <w:rsid w:val="00E507EB"/>
    <w:rsid w:val="00E50CC1"/>
    <w:rsid w:val="00E517F1"/>
    <w:rsid w:val="00E518E9"/>
    <w:rsid w:val="00E60B4F"/>
    <w:rsid w:val="00E62A29"/>
    <w:rsid w:val="00E63E30"/>
    <w:rsid w:val="00E65D46"/>
    <w:rsid w:val="00E67896"/>
    <w:rsid w:val="00E744C8"/>
    <w:rsid w:val="00E74B71"/>
    <w:rsid w:val="00E769D5"/>
    <w:rsid w:val="00E76E0B"/>
    <w:rsid w:val="00E80D1E"/>
    <w:rsid w:val="00E822B5"/>
    <w:rsid w:val="00E82429"/>
    <w:rsid w:val="00E82D2D"/>
    <w:rsid w:val="00E84D11"/>
    <w:rsid w:val="00E8625F"/>
    <w:rsid w:val="00E87C96"/>
    <w:rsid w:val="00E919ED"/>
    <w:rsid w:val="00E94BBB"/>
    <w:rsid w:val="00E95788"/>
    <w:rsid w:val="00E97CCE"/>
    <w:rsid w:val="00EA11EF"/>
    <w:rsid w:val="00EA14BF"/>
    <w:rsid w:val="00EA17B3"/>
    <w:rsid w:val="00EA3326"/>
    <w:rsid w:val="00EA5010"/>
    <w:rsid w:val="00EB06CC"/>
    <w:rsid w:val="00EB17E3"/>
    <w:rsid w:val="00EB6DE3"/>
    <w:rsid w:val="00EC1D23"/>
    <w:rsid w:val="00EC31CC"/>
    <w:rsid w:val="00EC4F6B"/>
    <w:rsid w:val="00ED04D7"/>
    <w:rsid w:val="00ED31CC"/>
    <w:rsid w:val="00ED3C4C"/>
    <w:rsid w:val="00ED760C"/>
    <w:rsid w:val="00ED79D8"/>
    <w:rsid w:val="00EE1DB7"/>
    <w:rsid w:val="00EE3294"/>
    <w:rsid w:val="00EE6019"/>
    <w:rsid w:val="00EE6FF4"/>
    <w:rsid w:val="00EF0920"/>
    <w:rsid w:val="00EF0FEF"/>
    <w:rsid w:val="00EF3AC4"/>
    <w:rsid w:val="00EF4B5A"/>
    <w:rsid w:val="00EF4F7D"/>
    <w:rsid w:val="00EF7A29"/>
    <w:rsid w:val="00F015F5"/>
    <w:rsid w:val="00F01D8A"/>
    <w:rsid w:val="00F02CB4"/>
    <w:rsid w:val="00F062F8"/>
    <w:rsid w:val="00F06EB3"/>
    <w:rsid w:val="00F07C2C"/>
    <w:rsid w:val="00F10655"/>
    <w:rsid w:val="00F12441"/>
    <w:rsid w:val="00F12A8C"/>
    <w:rsid w:val="00F14B19"/>
    <w:rsid w:val="00F22D03"/>
    <w:rsid w:val="00F232E2"/>
    <w:rsid w:val="00F26211"/>
    <w:rsid w:val="00F305AB"/>
    <w:rsid w:val="00F33A7A"/>
    <w:rsid w:val="00F37507"/>
    <w:rsid w:val="00F3769C"/>
    <w:rsid w:val="00F40883"/>
    <w:rsid w:val="00F40ABB"/>
    <w:rsid w:val="00F43788"/>
    <w:rsid w:val="00F47411"/>
    <w:rsid w:val="00F50C85"/>
    <w:rsid w:val="00F516A5"/>
    <w:rsid w:val="00F52239"/>
    <w:rsid w:val="00F526D7"/>
    <w:rsid w:val="00F53200"/>
    <w:rsid w:val="00F55DE2"/>
    <w:rsid w:val="00F577A3"/>
    <w:rsid w:val="00F6183D"/>
    <w:rsid w:val="00F62E88"/>
    <w:rsid w:val="00F6529F"/>
    <w:rsid w:val="00F70942"/>
    <w:rsid w:val="00F74434"/>
    <w:rsid w:val="00F808FB"/>
    <w:rsid w:val="00F857CD"/>
    <w:rsid w:val="00F85902"/>
    <w:rsid w:val="00F86058"/>
    <w:rsid w:val="00F86C07"/>
    <w:rsid w:val="00F92B4D"/>
    <w:rsid w:val="00F93315"/>
    <w:rsid w:val="00F95601"/>
    <w:rsid w:val="00F970EA"/>
    <w:rsid w:val="00FA1271"/>
    <w:rsid w:val="00FA2353"/>
    <w:rsid w:val="00FA68AE"/>
    <w:rsid w:val="00FB3813"/>
    <w:rsid w:val="00FB7E18"/>
    <w:rsid w:val="00FC4EAB"/>
    <w:rsid w:val="00FC5A4C"/>
    <w:rsid w:val="00FD0F85"/>
    <w:rsid w:val="00FD104D"/>
    <w:rsid w:val="00FD4CA2"/>
    <w:rsid w:val="00FD7A71"/>
    <w:rsid w:val="00FE44B8"/>
    <w:rsid w:val="00FE487C"/>
    <w:rsid w:val="00FE4967"/>
    <w:rsid w:val="00FE5B85"/>
    <w:rsid w:val="00FE6AB9"/>
    <w:rsid w:val="00FE72ED"/>
    <w:rsid w:val="00FE785A"/>
    <w:rsid w:val="00FF03D3"/>
    <w:rsid w:val="00FF055B"/>
    <w:rsid w:val="00FF1A90"/>
    <w:rsid w:val="00FF2ED6"/>
    <w:rsid w:val="00FF5108"/>
    <w:rsid w:val="00FF669B"/>
    <w:rsid w:val="00FF75E7"/>
    <w:rsid w:val="018C76D2"/>
    <w:rsid w:val="0251AEAA"/>
    <w:rsid w:val="02D20F5C"/>
    <w:rsid w:val="02F37380"/>
    <w:rsid w:val="09DDC891"/>
    <w:rsid w:val="09EB71EB"/>
    <w:rsid w:val="0AEEAA2A"/>
    <w:rsid w:val="0C067B2F"/>
    <w:rsid w:val="0C8F6C71"/>
    <w:rsid w:val="0D3A757F"/>
    <w:rsid w:val="0E56B4E5"/>
    <w:rsid w:val="0EEC9753"/>
    <w:rsid w:val="0F07253C"/>
    <w:rsid w:val="10AC83A0"/>
    <w:rsid w:val="10B7876E"/>
    <w:rsid w:val="143C490F"/>
    <w:rsid w:val="155D2A34"/>
    <w:rsid w:val="156944C3"/>
    <w:rsid w:val="15B52D3C"/>
    <w:rsid w:val="187607E9"/>
    <w:rsid w:val="1C5FA243"/>
    <w:rsid w:val="1EB19771"/>
    <w:rsid w:val="2317CD5F"/>
    <w:rsid w:val="252B17F5"/>
    <w:rsid w:val="25DEA491"/>
    <w:rsid w:val="27BFD6C5"/>
    <w:rsid w:val="287FAEA1"/>
    <w:rsid w:val="2AC154A1"/>
    <w:rsid w:val="2D9935A5"/>
    <w:rsid w:val="2E469FF2"/>
    <w:rsid w:val="2E8971DF"/>
    <w:rsid w:val="311599EB"/>
    <w:rsid w:val="31BBC3AE"/>
    <w:rsid w:val="3231D824"/>
    <w:rsid w:val="33162A32"/>
    <w:rsid w:val="3538FE18"/>
    <w:rsid w:val="371AEF89"/>
    <w:rsid w:val="3AB972F5"/>
    <w:rsid w:val="3D9FAEA1"/>
    <w:rsid w:val="3E49BE0B"/>
    <w:rsid w:val="4026BF1C"/>
    <w:rsid w:val="409215E5"/>
    <w:rsid w:val="40E878CA"/>
    <w:rsid w:val="477ABCF3"/>
    <w:rsid w:val="47851389"/>
    <w:rsid w:val="479BE925"/>
    <w:rsid w:val="4834F7B8"/>
    <w:rsid w:val="4D55F4AF"/>
    <w:rsid w:val="4E9B6429"/>
    <w:rsid w:val="506CDC22"/>
    <w:rsid w:val="55BF68DD"/>
    <w:rsid w:val="5617E46B"/>
    <w:rsid w:val="56D6C4DB"/>
    <w:rsid w:val="57233D69"/>
    <w:rsid w:val="5887DDA1"/>
    <w:rsid w:val="5C8FF889"/>
    <w:rsid w:val="5CF6FE38"/>
    <w:rsid w:val="5D2957A3"/>
    <w:rsid w:val="60DA202C"/>
    <w:rsid w:val="6145E383"/>
    <w:rsid w:val="6172D9DF"/>
    <w:rsid w:val="66636C2A"/>
    <w:rsid w:val="69CCB3F2"/>
    <w:rsid w:val="6D5876CA"/>
    <w:rsid w:val="6D6E449C"/>
    <w:rsid w:val="70570983"/>
    <w:rsid w:val="72759B60"/>
    <w:rsid w:val="731ED422"/>
    <w:rsid w:val="76880CD8"/>
    <w:rsid w:val="772A2A9C"/>
    <w:rsid w:val="77F4520C"/>
    <w:rsid w:val="78680F8A"/>
    <w:rsid w:val="7910406F"/>
    <w:rsid w:val="7945BEA4"/>
    <w:rsid w:val="7AD30D66"/>
    <w:rsid w:val="7BE370E5"/>
    <w:rsid w:val="7D71C7B0"/>
    <w:rsid w:val="7DBAFEA1"/>
    <w:rsid w:val="7E057F9F"/>
    <w:rsid w:val="7F636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6214"/>
  <w15:chartTrackingRefBased/>
  <w15:docId w15:val="{C354BD9D-EF65-47FF-8552-EB134633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A7524"/>
    <w:pPr>
      <w:spacing w:after="200" w:line="276" w:lineRule="auto"/>
      <w:ind w:left="720"/>
      <w:contextualSpacing/>
    </w:pPr>
    <w:rPr>
      <w:rFonts w:ascii="Calibri" w:hAnsi="Calibri" w:eastAsia="Calibri" w:cs="Times New Roman"/>
    </w:rPr>
  </w:style>
  <w:style w:type="character" w:styleId="Hyperlink">
    <w:name w:val="Hyperlink"/>
    <w:uiPriority w:val="99"/>
    <w:unhideWhenUsed/>
    <w:rsid w:val="00CA7524"/>
    <w:rPr>
      <w:color w:val="0000FF"/>
      <w:u w:val="single"/>
    </w:rPr>
  </w:style>
  <w:style w:type="paragraph" w:styleId="Header">
    <w:name w:val="header"/>
    <w:basedOn w:val="Normal"/>
    <w:link w:val="HeaderChar"/>
    <w:uiPriority w:val="99"/>
    <w:unhideWhenUsed/>
    <w:rsid w:val="00CA7524"/>
    <w:pPr>
      <w:tabs>
        <w:tab w:val="center" w:pos="4513"/>
        <w:tab w:val="right" w:pos="9026"/>
      </w:tabs>
      <w:spacing w:after="0" w:line="240" w:lineRule="auto"/>
    </w:pPr>
    <w:rPr>
      <w:rFonts w:ascii="Calibri" w:hAnsi="Calibri" w:eastAsia="Calibri" w:cs="Times New Roman"/>
    </w:rPr>
  </w:style>
  <w:style w:type="character" w:styleId="HeaderChar" w:customStyle="1">
    <w:name w:val="Header Char"/>
    <w:basedOn w:val="DefaultParagraphFont"/>
    <w:link w:val="Header"/>
    <w:uiPriority w:val="99"/>
    <w:rsid w:val="00CA7524"/>
    <w:rPr>
      <w:rFonts w:ascii="Calibri" w:hAnsi="Calibri" w:eastAsia="Calibri" w:cs="Times New Roman"/>
    </w:rPr>
  </w:style>
  <w:style w:type="paragraph" w:styleId="Footer">
    <w:name w:val="footer"/>
    <w:basedOn w:val="Normal"/>
    <w:link w:val="FooterChar"/>
    <w:uiPriority w:val="99"/>
    <w:unhideWhenUsed/>
    <w:rsid w:val="00CA7524"/>
    <w:pPr>
      <w:tabs>
        <w:tab w:val="center" w:pos="4513"/>
        <w:tab w:val="right" w:pos="9026"/>
      </w:tabs>
      <w:spacing w:after="0" w:line="240" w:lineRule="auto"/>
    </w:pPr>
    <w:rPr>
      <w:rFonts w:ascii="Calibri" w:hAnsi="Calibri" w:eastAsia="Calibri" w:cs="Times New Roman"/>
    </w:rPr>
  </w:style>
  <w:style w:type="character" w:styleId="FooterChar" w:customStyle="1">
    <w:name w:val="Footer Char"/>
    <w:basedOn w:val="DefaultParagraphFont"/>
    <w:link w:val="Footer"/>
    <w:uiPriority w:val="99"/>
    <w:rsid w:val="00CA7524"/>
    <w:rPr>
      <w:rFonts w:ascii="Calibri" w:hAnsi="Calibri" w:eastAsia="Calibri" w:cs="Times New Roman"/>
    </w:rPr>
  </w:style>
  <w:style w:type="character" w:styleId="UnresolvedMention">
    <w:name w:val="Unresolved Mention"/>
    <w:basedOn w:val="DefaultParagraphFont"/>
    <w:uiPriority w:val="99"/>
    <w:semiHidden/>
    <w:unhideWhenUsed/>
    <w:rsid w:val="007F6930"/>
    <w:rPr>
      <w:color w:val="605E5C"/>
      <w:shd w:val="clear" w:color="auto" w:fill="E1DFDD"/>
    </w:rPr>
  </w:style>
  <w:style w:type="table" w:styleId="TableGrid">
    <w:name w:val="Table Grid"/>
    <w:basedOn w:val="TableNormal"/>
    <w:uiPriority w:val="59"/>
    <w:rsid w:val="002C1FD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01" w:customStyle="1">
    <w:name w:val="cf01"/>
    <w:basedOn w:val="DefaultParagraphFont"/>
    <w:rsid w:val="005638D0"/>
    <w:rPr>
      <w:rFonts w:hint="default" w:ascii="Segoe UI" w:hAnsi="Segoe UI" w:cs="Segoe UI"/>
      <w:color w:val="262626"/>
      <w:sz w:val="21"/>
      <w:szCs w:val="21"/>
    </w:rPr>
  </w:style>
  <w:style w:type="character" w:styleId="FollowedHyperlink">
    <w:name w:val="FollowedHyperlink"/>
    <w:basedOn w:val="DefaultParagraphFont"/>
    <w:uiPriority w:val="99"/>
    <w:semiHidden/>
    <w:unhideWhenUsed/>
    <w:rsid w:val="00A96B8A"/>
    <w:rPr>
      <w:color w:val="954F72" w:themeColor="followedHyperlink"/>
      <w:u w:val="single"/>
    </w:rPr>
  </w:style>
  <w:style w:type="paragraph" w:styleId="CommentText">
    <w:name w:val="annotation text"/>
    <w:basedOn w:val="Normal"/>
    <w:link w:val="CommentTextChar"/>
    <w:uiPriority w:val="99"/>
    <w:unhideWhenUsed/>
    <w:rsid w:val="00BD79A9"/>
    <w:pPr>
      <w:spacing w:line="240" w:lineRule="auto"/>
    </w:pPr>
    <w:rPr>
      <w:sz w:val="20"/>
      <w:szCs w:val="20"/>
    </w:rPr>
  </w:style>
  <w:style w:type="character" w:styleId="CommentTextChar" w:customStyle="1">
    <w:name w:val="Comment Text Char"/>
    <w:basedOn w:val="DefaultParagraphFont"/>
    <w:link w:val="CommentText"/>
    <w:uiPriority w:val="99"/>
    <w:rsid w:val="00BD79A9"/>
    <w:rPr>
      <w:sz w:val="20"/>
      <w:szCs w:val="20"/>
    </w:rPr>
  </w:style>
  <w:style w:type="character" w:styleId="CommentReference">
    <w:name w:val="annotation reference"/>
    <w:basedOn w:val="DefaultParagraphFont"/>
    <w:uiPriority w:val="99"/>
    <w:semiHidden/>
    <w:unhideWhenUsed/>
    <w:rsid w:val="00BD79A9"/>
    <w:rPr>
      <w:sz w:val="16"/>
      <w:szCs w:val="16"/>
    </w:rPr>
  </w:style>
  <w:style w:type="character" w:styleId="font291" w:customStyle="1">
    <w:name w:val="font291"/>
    <w:basedOn w:val="DefaultParagraphFont"/>
    <w:rsid w:val="00470A69"/>
    <w:rPr>
      <w:rFonts w:hint="default" w:ascii="Calibri" w:hAnsi="Calibri" w:cs="Calibri"/>
      <w:b w:val="0"/>
      <w:bCs w:val="0"/>
      <w:i w:val="0"/>
      <w:iCs w:val="0"/>
      <w:strike w:val="0"/>
      <w:dstrike w:val="0"/>
      <w:color w:val="000000"/>
      <w:sz w:val="22"/>
      <w:szCs w:val="22"/>
      <w:u w:val="none"/>
      <w:effect w:val="none"/>
    </w:rPr>
  </w:style>
  <w:style w:type="character" w:styleId="font301" w:customStyle="1">
    <w:name w:val="font301"/>
    <w:basedOn w:val="DefaultParagraphFont"/>
    <w:rsid w:val="00470A69"/>
    <w:rPr>
      <w:rFonts w:hint="default" w:ascii="Calibri" w:hAnsi="Calibri" w:cs="Calibri"/>
      <w:b w:val="0"/>
      <w:bCs w:val="0"/>
      <w:i w:val="0"/>
      <w:iCs w:val="0"/>
      <w:strike w:val="0"/>
      <w:dstrike w:val="0"/>
      <w:color w:val="000000"/>
      <w:sz w:val="22"/>
      <w:szCs w:val="22"/>
      <w:u w:val="none"/>
      <w:effect w:val="none"/>
    </w:rPr>
  </w:style>
  <w:style w:type="character" w:styleId="font321" w:customStyle="1">
    <w:name w:val="font321"/>
    <w:basedOn w:val="DefaultParagraphFont"/>
    <w:rsid w:val="00470A69"/>
    <w:rPr>
      <w:rFonts w:hint="default" w:ascii="Calibri" w:hAnsi="Calibri" w:cs="Calibri"/>
      <w:b/>
      <w:bCs/>
      <w:i w:val="0"/>
      <w:iCs w:val="0"/>
      <w:strike w:val="0"/>
      <w:dstrike w:val="0"/>
      <w:color w:val="000000"/>
      <w:sz w:val="22"/>
      <w:szCs w:val="22"/>
      <w:u w:val="none"/>
      <w:effect w:val="none"/>
    </w:rPr>
  </w:style>
  <w:style w:type="character" w:styleId="font311" w:customStyle="1">
    <w:name w:val="font311"/>
    <w:basedOn w:val="DefaultParagraphFont"/>
    <w:rsid w:val="00470A69"/>
    <w:rPr>
      <w:rFonts w:hint="default" w:ascii="Calibri" w:hAnsi="Calibri" w:cs="Calibri"/>
      <w:b/>
      <w:bCs/>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1A7778"/>
    <w:rPr>
      <w:b/>
      <w:bCs/>
    </w:rPr>
  </w:style>
  <w:style w:type="character" w:styleId="CommentSubjectChar" w:customStyle="1">
    <w:name w:val="Comment Subject Char"/>
    <w:basedOn w:val="CommentTextChar"/>
    <w:link w:val="CommentSubject"/>
    <w:uiPriority w:val="99"/>
    <w:semiHidden/>
    <w:rsid w:val="001A7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8584">
      <w:bodyDiv w:val="1"/>
      <w:marLeft w:val="0"/>
      <w:marRight w:val="0"/>
      <w:marTop w:val="0"/>
      <w:marBottom w:val="0"/>
      <w:divBdr>
        <w:top w:val="none" w:sz="0" w:space="0" w:color="auto"/>
        <w:left w:val="none" w:sz="0" w:space="0" w:color="auto"/>
        <w:bottom w:val="none" w:sz="0" w:space="0" w:color="auto"/>
        <w:right w:val="none" w:sz="0" w:space="0" w:color="auto"/>
      </w:divBdr>
    </w:div>
    <w:div w:id="203491569">
      <w:bodyDiv w:val="1"/>
      <w:marLeft w:val="0"/>
      <w:marRight w:val="0"/>
      <w:marTop w:val="0"/>
      <w:marBottom w:val="0"/>
      <w:divBdr>
        <w:top w:val="none" w:sz="0" w:space="0" w:color="auto"/>
        <w:left w:val="none" w:sz="0" w:space="0" w:color="auto"/>
        <w:bottom w:val="none" w:sz="0" w:space="0" w:color="auto"/>
        <w:right w:val="none" w:sz="0" w:space="0" w:color="auto"/>
      </w:divBdr>
    </w:div>
    <w:div w:id="563490776">
      <w:bodyDiv w:val="1"/>
      <w:marLeft w:val="0"/>
      <w:marRight w:val="0"/>
      <w:marTop w:val="0"/>
      <w:marBottom w:val="0"/>
      <w:divBdr>
        <w:top w:val="none" w:sz="0" w:space="0" w:color="auto"/>
        <w:left w:val="none" w:sz="0" w:space="0" w:color="auto"/>
        <w:bottom w:val="none" w:sz="0" w:space="0" w:color="auto"/>
        <w:right w:val="none" w:sz="0" w:space="0" w:color="auto"/>
      </w:divBdr>
      <w:divsChild>
        <w:div w:id="168108605">
          <w:marLeft w:val="0"/>
          <w:marRight w:val="0"/>
          <w:marTop w:val="0"/>
          <w:marBottom w:val="0"/>
          <w:divBdr>
            <w:top w:val="none" w:sz="0" w:space="0" w:color="auto"/>
            <w:left w:val="none" w:sz="0" w:space="0" w:color="auto"/>
            <w:bottom w:val="none" w:sz="0" w:space="0" w:color="auto"/>
            <w:right w:val="none" w:sz="0" w:space="0" w:color="auto"/>
          </w:divBdr>
        </w:div>
      </w:divsChild>
    </w:div>
    <w:div w:id="582615617">
      <w:bodyDiv w:val="1"/>
      <w:marLeft w:val="0"/>
      <w:marRight w:val="0"/>
      <w:marTop w:val="0"/>
      <w:marBottom w:val="0"/>
      <w:divBdr>
        <w:top w:val="none" w:sz="0" w:space="0" w:color="auto"/>
        <w:left w:val="none" w:sz="0" w:space="0" w:color="auto"/>
        <w:bottom w:val="none" w:sz="0" w:space="0" w:color="auto"/>
        <w:right w:val="none" w:sz="0" w:space="0" w:color="auto"/>
      </w:divBdr>
    </w:div>
    <w:div w:id="687685075">
      <w:bodyDiv w:val="1"/>
      <w:marLeft w:val="0"/>
      <w:marRight w:val="0"/>
      <w:marTop w:val="0"/>
      <w:marBottom w:val="0"/>
      <w:divBdr>
        <w:top w:val="none" w:sz="0" w:space="0" w:color="auto"/>
        <w:left w:val="none" w:sz="0" w:space="0" w:color="auto"/>
        <w:bottom w:val="none" w:sz="0" w:space="0" w:color="auto"/>
        <w:right w:val="none" w:sz="0" w:space="0" w:color="auto"/>
      </w:divBdr>
      <w:divsChild>
        <w:div w:id="1248686312">
          <w:marLeft w:val="0"/>
          <w:marRight w:val="0"/>
          <w:marTop w:val="0"/>
          <w:marBottom w:val="0"/>
          <w:divBdr>
            <w:top w:val="none" w:sz="0" w:space="0" w:color="auto"/>
            <w:left w:val="none" w:sz="0" w:space="0" w:color="auto"/>
            <w:bottom w:val="none" w:sz="0" w:space="0" w:color="auto"/>
            <w:right w:val="none" w:sz="0" w:space="0" w:color="auto"/>
          </w:divBdr>
        </w:div>
      </w:divsChild>
    </w:div>
    <w:div w:id="924460722">
      <w:bodyDiv w:val="1"/>
      <w:marLeft w:val="0"/>
      <w:marRight w:val="0"/>
      <w:marTop w:val="0"/>
      <w:marBottom w:val="0"/>
      <w:divBdr>
        <w:top w:val="none" w:sz="0" w:space="0" w:color="auto"/>
        <w:left w:val="none" w:sz="0" w:space="0" w:color="auto"/>
        <w:bottom w:val="none" w:sz="0" w:space="0" w:color="auto"/>
        <w:right w:val="none" w:sz="0" w:space="0" w:color="auto"/>
      </w:divBdr>
      <w:divsChild>
        <w:div w:id="520244751">
          <w:marLeft w:val="0"/>
          <w:marRight w:val="0"/>
          <w:marTop w:val="0"/>
          <w:marBottom w:val="0"/>
          <w:divBdr>
            <w:top w:val="none" w:sz="0" w:space="0" w:color="auto"/>
            <w:left w:val="none" w:sz="0" w:space="0" w:color="auto"/>
            <w:bottom w:val="none" w:sz="0" w:space="0" w:color="auto"/>
            <w:right w:val="none" w:sz="0" w:space="0" w:color="auto"/>
          </w:divBdr>
        </w:div>
      </w:divsChild>
    </w:div>
    <w:div w:id="943344355">
      <w:bodyDiv w:val="1"/>
      <w:marLeft w:val="0"/>
      <w:marRight w:val="0"/>
      <w:marTop w:val="0"/>
      <w:marBottom w:val="0"/>
      <w:divBdr>
        <w:top w:val="none" w:sz="0" w:space="0" w:color="auto"/>
        <w:left w:val="none" w:sz="0" w:space="0" w:color="auto"/>
        <w:bottom w:val="none" w:sz="0" w:space="0" w:color="auto"/>
        <w:right w:val="none" w:sz="0" w:space="0" w:color="auto"/>
      </w:divBdr>
    </w:div>
    <w:div w:id="1137409248">
      <w:bodyDiv w:val="1"/>
      <w:marLeft w:val="0"/>
      <w:marRight w:val="0"/>
      <w:marTop w:val="0"/>
      <w:marBottom w:val="0"/>
      <w:divBdr>
        <w:top w:val="none" w:sz="0" w:space="0" w:color="auto"/>
        <w:left w:val="none" w:sz="0" w:space="0" w:color="auto"/>
        <w:bottom w:val="none" w:sz="0" w:space="0" w:color="auto"/>
        <w:right w:val="none" w:sz="0" w:space="0" w:color="auto"/>
      </w:divBdr>
      <w:divsChild>
        <w:div w:id="1940986867">
          <w:marLeft w:val="0"/>
          <w:marRight w:val="0"/>
          <w:marTop w:val="0"/>
          <w:marBottom w:val="0"/>
          <w:divBdr>
            <w:top w:val="none" w:sz="0" w:space="0" w:color="auto"/>
            <w:left w:val="none" w:sz="0" w:space="0" w:color="auto"/>
            <w:bottom w:val="none" w:sz="0" w:space="0" w:color="auto"/>
            <w:right w:val="none" w:sz="0" w:space="0" w:color="auto"/>
          </w:divBdr>
        </w:div>
      </w:divsChild>
    </w:div>
    <w:div w:id="1347517864">
      <w:bodyDiv w:val="1"/>
      <w:marLeft w:val="0"/>
      <w:marRight w:val="0"/>
      <w:marTop w:val="0"/>
      <w:marBottom w:val="0"/>
      <w:divBdr>
        <w:top w:val="none" w:sz="0" w:space="0" w:color="auto"/>
        <w:left w:val="none" w:sz="0" w:space="0" w:color="auto"/>
        <w:bottom w:val="none" w:sz="0" w:space="0" w:color="auto"/>
        <w:right w:val="none" w:sz="0" w:space="0" w:color="auto"/>
      </w:divBdr>
    </w:div>
    <w:div w:id="20201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gland.nhs.uk/greenernhs/a-net-zero-nhs/" TargetMode="External" Id="rId8" /><Relationship Type="http://schemas.openxmlformats.org/officeDocument/2006/relationships/chart" Target="charts/chart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hart" Target="charts/chart1.xm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shcoalition.org/sustainable-care-pathways-guidance/"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4.png" Id="rId14"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hs-my.sharepoint.com/personal/rachel_cottam_nhs_net/Documents/Strategy%20&amp;%20Planning/ICHD%20project/Report/Copy%20of%20ICHD_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ysClr val="windowText" lastClr="000000"/>
                </a:solidFill>
                <a:latin typeface="+mn-lt"/>
                <a:ea typeface="+mn-ea"/>
                <a:cs typeface="+mn-cs"/>
              </a:defRPr>
            </a:pPr>
            <a:r>
              <a:rPr lang="en-GB" sz="1200">
                <a:solidFill>
                  <a:sysClr val="windowText" lastClr="000000"/>
                </a:solidFill>
              </a:rPr>
              <a:t>Patient's Transport Method</a:t>
            </a:r>
          </a:p>
        </c:rich>
      </c:tx>
      <c:overlay val="0"/>
      <c:spPr>
        <a:noFill/>
        <a:ln>
          <a:noFill/>
        </a:ln>
        <a:effectLst/>
      </c:spPr>
      <c:txPr>
        <a:bodyPr rot="0" spcFirstLastPara="1" vertOverflow="ellipsis" vert="horz" wrap="square" anchor="ctr" anchorCtr="1"/>
        <a:lstStyle/>
        <a:p>
          <a:pPr>
            <a:defRPr sz="1200" b="1" i="0" u="none" strike="noStrike" kern="1200" cap="all"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875-4DF4-A7C4-0FC5D9C014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875-4DF4-A7C4-0FC5D9C0149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875-4DF4-A7C4-0FC5D9C01492}"/>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875-4DF4-A7C4-0FC5D9C01492}"/>
                </c:ext>
              </c:extLst>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875-4DF4-A7C4-0FC5D9C01492}"/>
                </c:ext>
              </c:extLst>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E875-4DF4-A7C4-0FC5D9C0149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ICHD_Data.xlsx]Results'!$B$57:$B$59</c:f>
              <c:strCache>
                <c:ptCount val="3"/>
                <c:pt idx="0">
                  <c:v>Ambulance (provided travel)</c:v>
                </c:pt>
                <c:pt idx="1">
                  <c:v>Regular taxi</c:v>
                </c:pt>
                <c:pt idx="2">
                  <c:v>Average car, average fuel</c:v>
                </c:pt>
              </c:strCache>
            </c:strRef>
          </c:cat>
          <c:val>
            <c:numRef>
              <c:f>'[Copy of ICHD_Data.xlsx]Results'!$D$57:$D$59</c:f>
              <c:numCache>
                <c:formatCode>0%</c:formatCode>
                <c:ptCount val="3"/>
                <c:pt idx="0">
                  <c:v>0.50889846784174808</c:v>
                </c:pt>
                <c:pt idx="1">
                  <c:v>0.15001493747599334</c:v>
                </c:pt>
                <c:pt idx="2">
                  <c:v>0.34108659468225855</c:v>
                </c:pt>
              </c:numCache>
            </c:numRef>
          </c:val>
          <c:extLst>
            <c:ext xmlns:c16="http://schemas.microsoft.com/office/drawing/2014/chart" uri="{C3380CC4-5D6E-409C-BE32-E72D297353CC}">
              <c16:uniqueId val="{00000006-E875-4DF4-A7C4-0FC5D9C0149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accent6">
          <a:lumMod val="75000"/>
          <a:alpha val="99000"/>
        </a:schemeClr>
      </a:solidFill>
      <a:round/>
    </a:ln>
    <a:effectLst/>
  </c:spPr>
  <c:txPr>
    <a:bodyPr/>
    <a:lstStyle/>
    <a:p>
      <a:pPr>
        <a:defRPr>
          <a:solidFill>
            <a:schemeClr val="accent6">
              <a:lumMod val="75000"/>
            </a:schemeClr>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r>
              <a:rPr lang="en-GB"/>
              <a:t>Staff travel methods</a:t>
            </a:r>
          </a:p>
        </c:rich>
      </c:tx>
      <c:overlay val="0"/>
      <c:spPr>
        <a:noFill/>
        <a:ln>
          <a:noFill/>
        </a:ln>
        <a:effectLst/>
      </c:spPr>
      <c:txPr>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065656565656561E-2"/>
          <c:y val="0.32220694417896273"/>
          <c:w val="0.80555555555555558"/>
          <c:h val="0.6298226034196782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2C7-4EE4-BE68-999C0A0FD27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2C7-4EE4-BE68-999C0A0FD27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2C7-4EE4-BE68-999C0A0FD2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C2C7-4EE4-BE68-999C0A0FD2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C2C7-4EE4-BE68-999C0A0FD270}"/>
                </c:ext>
              </c:extLst>
            </c:dLbl>
            <c:dLbl>
              <c:idx val="2"/>
              <c:layout>
                <c:manualLayout>
                  <c:x val="5.050505050505050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75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C7-4EE4-BE68-999C0A0FD27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75000"/>
                      </a:schemeClr>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ICHD_Data.xlsx]Results'!$H$27:$H$29</c:f>
              <c:strCache>
                <c:ptCount val="3"/>
                <c:pt idx="0">
                  <c:v>Bus -17%</c:v>
                </c:pt>
                <c:pt idx="1">
                  <c:v>Car/van -80%</c:v>
                </c:pt>
                <c:pt idx="2">
                  <c:v>Motorcycle- 2%</c:v>
                </c:pt>
              </c:strCache>
            </c:strRef>
          </c:cat>
          <c:val>
            <c:numRef>
              <c:f>'[Copy of ICHD_Data.xlsx]Results'!$J$27:$J$29</c:f>
              <c:numCache>
                <c:formatCode>0%</c:formatCode>
                <c:ptCount val="3"/>
                <c:pt idx="0">
                  <c:v>0.17073170731707318</c:v>
                </c:pt>
                <c:pt idx="1">
                  <c:v>0.80487804878048785</c:v>
                </c:pt>
                <c:pt idx="2">
                  <c:v>2.4390243902439025E-2</c:v>
                </c:pt>
              </c:numCache>
            </c:numRef>
          </c:val>
          <c:extLst>
            <c:ext xmlns:c16="http://schemas.microsoft.com/office/drawing/2014/chart" uri="{C3380CC4-5D6E-409C-BE32-E72D297353CC}">
              <c16:uniqueId val="{00000006-C2C7-4EE4-BE68-999C0A0FD27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accent6">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COTTAM, Rachel (SHEFFIELD TEACHING HOSPITALS NHS FOUNDATION TRUST)</dc:creator>
  <keywords/>
  <dc:description/>
  <lastModifiedBy>COTTAM, Rachel (SHEFFIELD TEACHING HOSPITALS NHS FOUNDATION TRUST)</lastModifiedBy>
  <revision>1089</revision>
  <dcterms:created xsi:type="dcterms:W3CDTF">2024-03-07T06:13:00.0000000Z</dcterms:created>
  <dcterms:modified xsi:type="dcterms:W3CDTF">2024-12-02T10:51:06.7346650Z</dcterms:modified>
</coreProperties>
</file>