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A903" w14:textId="6F124CFF" w:rsidR="00934E50" w:rsidRPr="0076466F" w:rsidRDefault="00934E50" w:rsidP="00934E50">
      <w:pPr>
        <w:pStyle w:val="Title"/>
        <w:jc w:val="center"/>
      </w:pPr>
      <w:r>
        <w:t>Department of Sexual Health, Cardiff Royal Infirmary</w:t>
      </w:r>
    </w:p>
    <w:p w14:paraId="01D538D3" w14:textId="16D67AD1" w:rsidR="00934E50" w:rsidRPr="00B919A3" w:rsidRDefault="00934E50" w:rsidP="00934E50">
      <w:pPr>
        <w:jc w:val="center"/>
        <w:rPr>
          <w:b/>
          <w:sz w:val="32"/>
          <w:szCs w:val="32"/>
        </w:rPr>
      </w:pPr>
      <w:r w:rsidRPr="00B919A3">
        <w:rPr>
          <w:b/>
          <w:sz w:val="32"/>
          <w:szCs w:val="32"/>
        </w:rPr>
        <w:t xml:space="preserve">Changing from single use plastic to reusable metal specula to decrease GHG emissions and waste </w:t>
      </w:r>
      <w:r w:rsidR="00F419F8" w:rsidRPr="00B919A3">
        <w:rPr>
          <w:b/>
          <w:sz w:val="32"/>
          <w:szCs w:val="32"/>
        </w:rPr>
        <w:t>generation.</w:t>
      </w:r>
    </w:p>
    <w:p w14:paraId="2DF8FCE5" w14:textId="77777777" w:rsidR="00934E50" w:rsidRDefault="00934E50" w:rsidP="00934E50">
      <w:pPr>
        <w:rPr>
          <w:b/>
          <w:sz w:val="32"/>
          <w:szCs w:val="32"/>
        </w:rPr>
      </w:pPr>
    </w:p>
    <w:tbl>
      <w:tblPr>
        <w:tblStyle w:val="TableGrid"/>
        <w:tblW w:w="9781" w:type="dxa"/>
        <w:jc w:val="center"/>
        <w:tblLayout w:type="fixed"/>
        <w:tblLook w:val="04A0" w:firstRow="1" w:lastRow="0" w:firstColumn="1" w:lastColumn="0" w:noHBand="0" w:noVBand="1"/>
      </w:tblPr>
      <w:tblGrid>
        <w:gridCol w:w="1985"/>
        <w:gridCol w:w="428"/>
        <w:gridCol w:w="1982"/>
        <w:gridCol w:w="427"/>
        <w:gridCol w:w="1982"/>
        <w:gridCol w:w="426"/>
        <w:gridCol w:w="2126"/>
        <w:gridCol w:w="425"/>
      </w:tblGrid>
      <w:tr w:rsidR="00934E50" w14:paraId="4A7E1149" w14:textId="77777777" w:rsidTr="00EF14B9">
        <w:trPr>
          <w:trHeight w:val="337"/>
          <w:jc w:val="center"/>
        </w:trPr>
        <w:tc>
          <w:tcPr>
            <w:tcW w:w="1985" w:type="dxa"/>
            <w:tcBorders>
              <w:right w:val="nil"/>
            </w:tcBorders>
            <w:shd w:val="clear" w:color="auto" w:fill="E5EAEF"/>
            <w:vAlign w:val="center"/>
          </w:tcPr>
          <w:p w14:paraId="471133A1" w14:textId="77777777" w:rsidR="00934E50" w:rsidRPr="00607DC1" w:rsidRDefault="00934E50" w:rsidP="00EF14B9">
            <w:pPr>
              <w:pStyle w:val="Headinglevelthree"/>
              <w:tabs>
                <w:tab w:val="center" w:pos="1514"/>
              </w:tabs>
              <w:spacing w:after="0"/>
              <w:rPr>
                <w:color w:val="auto"/>
                <w:sz w:val="20"/>
                <w:szCs w:val="20"/>
                <w:lang w:val="en-GB"/>
              </w:rPr>
            </w:pPr>
            <w:r w:rsidRPr="00607DC1">
              <w:rPr>
                <w:color w:val="auto"/>
                <w:sz w:val="20"/>
                <w:szCs w:val="20"/>
                <w:lang w:val="en-GB"/>
              </w:rPr>
              <w:t>A</w:t>
            </w:r>
            <w:proofErr w:type="spellStart"/>
            <w:r w:rsidRPr="00607DC1">
              <w:rPr>
                <w:color w:val="auto"/>
                <w:sz w:val="20"/>
                <w:szCs w:val="20"/>
              </w:rPr>
              <w:t>daptation</w:t>
            </w:r>
            <w:proofErr w:type="spellEnd"/>
          </w:p>
        </w:tc>
        <w:sdt>
          <w:sdtPr>
            <w:rPr>
              <w:color w:val="auto"/>
              <w:sz w:val="22"/>
              <w:szCs w:val="22"/>
              <w:lang w:val="en-GB"/>
            </w:rPr>
            <w:id w:val="-1178572398"/>
            <w14:checkbox>
              <w14:checked w14:val="0"/>
              <w14:checkedState w14:val="2612" w14:font="MS Gothic"/>
              <w14:uncheckedState w14:val="2610" w14:font="MS Gothic"/>
            </w14:checkbox>
          </w:sdtPr>
          <w:sdtContent>
            <w:tc>
              <w:tcPr>
                <w:tcW w:w="428" w:type="dxa"/>
                <w:tcBorders>
                  <w:left w:val="nil"/>
                  <w:bottom w:val="single" w:sz="4" w:space="0" w:color="auto"/>
                </w:tcBorders>
                <w:shd w:val="clear" w:color="auto" w:fill="E5EAEF"/>
                <w:vAlign w:val="center"/>
              </w:tcPr>
              <w:p w14:paraId="79F68F30" w14:textId="5A5B1F46" w:rsidR="00934E50" w:rsidRPr="006E63EE" w:rsidRDefault="00934E50" w:rsidP="00EF14B9">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02E00D44" w14:textId="77777777" w:rsidR="00934E50" w:rsidRPr="00607DC1" w:rsidRDefault="00934E50" w:rsidP="00EF14B9">
            <w:pPr>
              <w:pStyle w:val="Headinglevelthree"/>
              <w:tabs>
                <w:tab w:val="center" w:pos="1514"/>
              </w:tabs>
              <w:spacing w:after="0"/>
              <w:rPr>
                <w:color w:val="auto"/>
                <w:sz w:val="20"/>
                <w:szCs w:val="20"/>
                <w:lang w:val="en-GB"/>
              </w:rPr>
            </w:pPr>
            <w:r w:rsidRPr="00607DC1">
              <w:rPr>
                <w:color w:val="auto"/>
                <w:sz w:val="20"/>
                <w:szCs w:val="20"/>
                <w:lang w:val="en-GB"/>
              </w:rPr>
              <w:t>C</w:t>
            </w:r>
            <w:proofErr w:type="spellStart"/>
            <w:r w:rsidRPr="00607DC1">
              <w:rPr>
                <w:color w:val="auto"/>
                <w:sz w:val="20"/>
                <w:szCs w:val="20"/>
              </w:rPr>
              <w:t>omm</w:t>
            </w:r>
            <w:r>
              <w:rPr>
                <w:color w:val="auto"/>
                <w:sz w:val="20"/>
                <w:szCs w:val="20"/>
              </w:rPr>
              <w:t>unication</w:t>
            </w:r>
            <w:r w:rsidRPr="00607DC1">
              <w:rPr>
                <w:color w:val="auto"/>
                <w:sz w:val="20"/>
                <w:szCs w:val="20"/>
              </w:rPr>
              <w:t>s</w:t>
            </w:r>
            <w:proofErr w:type="spellEnd"/>
            <w:r w:rsidRPr="00607DC1">
              <w:rPr>
                <w:color w:val="auto"/>
                <w:sz w:val="20"/>
                <w:szCs w:val="20"/>
              </w:rPr>
              <w:t xml:space="preserve"> and engagement</w:t>
            </w:r>
            <w:r w:rsidRPr="00607DC1">
              <w:rPr>
                <w:color w:val="auto"/>
                <w:sz w:val="20"/>
                <w:szCs w:val="20"/>
                <w:lang w:val="en-GB"/>
              </w:rPr>
              <w:t xml:space="preserve"> </w:t>
            </w:r>
          </w:p>
        </w:tc>
        <w:sdt>
          <w:sdtPr>
            <w:rPr>
              <w:color w:val="auto"/>
              <w:sz w:val="22"/>
              <w:szCs w:val="22"/>
              <w:lang w:val="en-GB"/>
            </w:rPr>
            <w:id w:val="1162738064"/>
            <w14:checkbox>
              <w14:checked w14:val="0"/>
              <w14:checkedState w14:val="2612" w14:font="MS Gothic"/>
              <w14:uncheckedState w14:val="2610" w14:font="MS Gothic"/>
            </w14:checkbox>
          </w:sdtPr>
          <w:sdtContent>
            <w:tc>
              <w:tcPr>
                <w:tcW w:w="427" w:type="dxa"/>
                <w:tcBorders>
                  <w:left w:val="nil"/>
                </w:tcBorders>
                <w:shd w:val="clear" w:color="auto" w:fill="E5EAEF"/>
                <w:vAlign w:val="center"/>
              </w:tcPr>
              <w:p w14:paraId="6869A1AC" w14:textId="77777777" w:rsidR="00934E50" w:rsidRPr="006E63EE" w:rsidRDefault="00934E50" w:rsidP="00EF14B9">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376C37A0" w14:textId="77777777" w:rsidR="00934E50" w:rsidRPr="00607DC1" w:rsidRDefault="00934E50" w:rsidP="00EF14B9">
            <w:pPr>
              <w:pStyle w:val="Headinglevelthree"/>
              <w:tabs>
                <w:tab w:val="center" w:pos="1514"/>
              </w:tabs>
              <w:spacing w:after="0"/>
              <w:rPr>
                <w:color w:val="auto"/>
                <w:sz w:val="20"/>
                <w:szCs w:val="20"/>
                <w:lang w:val="en-GB"/>
              </w:rPr>
            </w:pPr>
            <w:r w:rsidRPr="00607DC1">
              <w:rPr>
                <w:color w:val="auto"/>
                <w:sz w:val="20"/>
                <w:szCs w:val="20"/>
                <w:lang w:val="en-GB"/>
              </w:rPr>
              <w:t>Estates and facilities</w:t>
            </w:r>
            <w:r>
              <w:rPr>
                <w:color w:val="auto"/>
                <w:sz w:val="20"/>
                <w:szCs w:val="20"/>
                <w:lang w:val="en-GB"/>
              </w:rPr>
              <w:t xml:space="preserve"> (energy, waste, water)</w:t>
            </w:r>
          </w:p>
        </w:tc>
        <w:sdt>
          <w:sdtPr>
            <w:rPr>
              <w:color w:val="auto"/>
              <w:sz w:val="22"/>
              <w:szCs w:val="22"/>
              <w:lang w:val="en-GB"/>
            </w:rPr>
            <w:id w:val="1939952802"/>
            <w14:checkbox>
              <w14:checked w14:val="0"/>
              <w14:checkedState w14:val="2612" w14:font="MS Gothic"/>
              <w14:uncheckedState w14:val="2610" w14:font="MS Gothic"/>
            </w14:checkbox>
          </w:sdtPr>
          <w:sdtContent>
            <w:tc>
              <w:tcPr>
                <w:tcW w:w="426" w:type="dxa"/>
                <w:tcBorders>
                  <w:left w:val="nil"/>
                </w:tcBorders>
                <w:shd w:val="clear" w:color="auto" w:fill="E5EAEF"/>
                <w:vAlign w:val="center"/>
              </w:tcPr>
              <w:p w14:paraId="4D9ED46F" w14:textId="77777777" w:rsidR="00934E50" w:rsidRPr="006E63EE" w:rsidRDefault="00934E50" w:rsidP="00EF14B9">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614881F6" w14:textId="77777777" w:rsidR="00934E50" w:rsidRDefault="00934E50" w:rsidP="00EF14B9">
            <w:pPr>
              <w:pStyle w:val="Headinglevelthree"/>
              <w:spacing w:after="0"/>
              <w:rPr>
                <w:color w:val="auto"/>
                <w:sz w:val="20"/>
                <w:szCs w:val="20"/>
                <w:lang w:val="en-GB"/>
              </w:rPr>
            </w:pPr>
            <w:r w:rsidRPr="00607DC1">
              <w:rPr>
                <w:color w:val="auto"/>
                <w:sz w:val="20"/>
                <w:szCs w:val="20"/>
                <w:lang w:val="en-GB"/>
              </w:rPr>
              <w:t xml:space="preserve">Food, catering </w:t>
            </w:r>
          </w:p>
          <w:p w14:paraId="35AE99D4"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 xml:space="preserve">and nutrition </w:t>
            </w:r>
          </w:p>
        </w:tc>
        <w:sdt>
          <w:sdtPr>
            <w:rPr>
              <w:color w:val="auto"/>
              <w:sz w:val="22"/>
              <w:szCs w:val="22"/>
              <w:lang w:val="en-GB"/>
            </w:rPr>
            <w:id w:val="736742140"/>
            <w14:checkbox>
              <w14:checked w14:val="0"/>
              <w14:checkedState w14:val="2612" w14:font="MS Gothic"/>
              <w14:uncheckedState w14:val="2610" w14:font="MS Gothic"/>
            </w14:checkbox>
          </w:sdtPr>
          <w:sdtContent>
            <w:tc>
              <w:tcPr>
                <w:tcW w:w="425" w:type="dxa"/>
                <w:tcBorders>
                  <w:left w:val="nil"/>
                </w:tcBorders>
                <w:shd w:val="clear" w:color="auto" w:fill="E5EAEF"/>
                <w:vAlign w:val="center"/>
              </w:tcPr>
              <w:p w14:paraId="06501D3B" w14:textId="77777777" w:rsidR="00934E50" w:rsidRPr="006E63EE" w:rsidRDefault="00934E50" w:rsidP="00EF14B9">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tr w:rsidR="00934E50" w14:paraId="1C927544" w14:textId="77777777" w:rsidTr="00EF14B9">
        <w:trPr>
          <w:trHeight w:val="337"/>
          <w:jc w:val="center"/>
        </w:trPr>
        <w:tc>
          <w:tcPr>
            <w:tcW w:w="1985" w:type="dxa"/>
            <w:tcBorders>
              <w:right w:val="nil"/>
            </w:tcBorders>
            <w:shd w:val="clear" w:color="auto" w:fill="E5EAEF"/>
            <w:vAlign w:val="center"/>
          </w:tcPr>
          <w:p w14:paraId="616A07D7" w14:textId="77777777" w:rsidR="00934E50" w:rsidRDefault="00934E50" w:rsidP="00EF14B9">
            <w:pPr>
              <w:pStyle w:val="Headinglevelthree"/>
              <w:spacing w:after="0"/>
              <w:rPr>
                <w:color w:val="auto"/>
                <w:sz w:val="20"/>
                <w:szCs w:val="20"/>
                <w:lang w:val="en-GB"/>
              </w:rPr>
            </w:pPr>
            <w:r w:rsidRPr="00607DC1">
              <w:rPr>
                <w:color w:val="auto"/>
                <w:sz w:val="20"/>
                <w:szCs w:val="20"/>
                <w:lang w:val="en-GB"/>
              </w:rPr>
              <w:t xml:space="preserve">Funding and </w:t>
            </w:r>
          </w:p>
          <w:p w14:paraId="3BBBB9A5"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 xml:space="preserve">financial mechanisms </w:t>
            </w:r>
          </w:p>
        </w:tc>
        <w:sdt>
          <w:sdtPr>
            <w:rPr>
              <w:color w:val="auto"/>
              <w:sz w:val="22"/>
              <w:szCs w:val="22"/>
              <w:lang w:val="en-GB"/>
            </w:rPr>
            <w:id w:val="1683465612"/>
            <w14:checkbox>
              <w14:checked w14:val="0"/>
              <w14:checkedState w14:val="2612" w14:font="MS Gothic"/>
              <w14:uncheckedState w14:val="2610" w14:font="MS Gothic"/>
            </w14:checkbox>
          </w:sdtPr>
          <w:sdtContent>
            <w:tc>
              <w:tcPr>
                <w:tcW w:w="428" w:type="dxa"/>
                <w:tcBorders>
                  <w:left w:val="nil"/>
                </w:tcBorders>
                <w:shd w:val="clear" w:color="auto" w:fill="E5EAEF"/>
                <w:vAlign w:val="center"/>
              </w:tcPr>
              <w:p w14:paraId="2BCDB00E" w14:textId="77777777" w:rsidR="00934E50" w:rsidRPr="006E63EE" w:rsidRDefault="00934E50" w:rsidP="00EF14B9">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0CE7DD02"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Medicines</w:t>
            </w:r>
          </w:p>
        </w:tc>
        <w:sdt>
          <w:sdtPr>
            <w:rPr>
              <w:color w:val="auto"/>
              <w:sz w:val="22"/>
              <w:szCs w:val="22"/>
              <w:lang w:val="en-GB"/>
            </w:rPr>
            <w:id w:val="-1985383529"/>
            <w14:checkbox>
              <w14:checked w14:val="0"/>
              <w14:checkedState w14:val="2612" w14:font="MS Gothic"/>
              <w14:uncheckedState w14:val="2610" w14:font="MS Gothic"/>
            </w14:checkbox>
          </w:sdtPr>
          <w:sdtContent>
            <w:tc>
              <w:tcPr>
                <w:tcW w:w="427" w:type="dxa"/>
                <w:tcBorders>
                  <w:left w:val="nil"/>
                </w:tcBorders>
                <w:shd w:val="clear" w:color="auto" w:fill="E5EAEF"/>
                <w:vAlign w:val="center"/>
              </w:tcPr>
              <w:p w14:paraId="361659FD" w14:textId="77777777" w:rsidR="00934E50" w:rsidRPr="006E63EE" w:rsidRDefault="00934E50" w:rsidP="00EF14B9">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12870499"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 xml:space="preserve">Research, </w:t>
            </w:r>
            <w:proofErr w:type="gramStart"/>
            <w:r w:rsidRPr="00607DC1">
              <w:rPr>
                <w:color w:val="auto"/>
                <w:sz w:val="20"/>
                <w:szCs w:val="20"/>
                <w:lang w:val="en-GB"/>
              </w:rPr>
              <w:t>innovation</w:t>
            </w:r>
            <w:proofErr w:type="gramEnd"/>
            <w:r w:rsidRPr="00607DC1">
              <w:rPr>
                <w:color w:val="auto"/>
                <w:sz w:val="20"/>
                <w:szCs w:val="20"/>
                <w:lang w:val="en-GB"/>
              </w:rPr>
              <w:t xml:space="preserve"> and offsetting</w:t>
            </w:r>
          </w:p>
        </w:tc>
        <w:sdt>
          <w:sdtPr>
            <w:rPr>
              <w:color w:val="auto"/>
              <w:sz w:val="22"/>
              <w:szCs w:val="22"/>
              <w:lang w:val="en-GB"/>
            </w:rPr>
            <w:id w:val="-1124922805"/>
            <w14:checkbox>
              <w14:checked w14:val="0"/>
              <w14:checkedState w14:val="2612" w14:font="MS Gothic"/>
              <w14:uncheckedState w14:val="2610" w14:font="MS Gothic"/>
            </w14:checkbox>
          </w:sdtPr>
          <w:sdtContent>
            <w:tc>
              <w:tcPr>
                <w:tcW w:w="426" w:type="dxa"/>
                <w:tcBorders>
                  <w:left w:val="nil"/>
                </w:tcBorders>
                <w:shd w:val="clear" w:color="auto" w:fill="E5EAEF"/>
                <w:vAlign w:val="center"/>
              </w:tcPr>
              <w:p w14:paraId="60C81235" w14:textId="77777777" w:rsidR="00934E50" w:rsidRPr="006E63EE" w:rsidRDefault="00934E50" w:rsidP="00EF14B9">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766F7708"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 xml:space="preserve">Strategic ambition </w:t>
            </w:r>
          </w:p>
        </w:tc>
        <w:sdt>
          <w:sdtPr>
            <w:rPr>
              <w:color w:val="auto"/>
              <w:sz w:val="22"/>
              <w:szCs w:val="22"/>
              <w:lang w:val="en-GB"/>
            </w:rPr>
            <w:id w:val="411595373"/>
            <w14:checkbox>
              <w14:checked w14:val="0"/>
              <w14:checkedState w14:val="2612" w14:font="MS Gothic"/>
              <w14:uncheckedState w14:val="2610" w14:font="MS Gothic"/>
            </w14:checkbox>
          </w:sdtPr>
          <w:sdtContent>
            <w:tc>
              <w:tcPr>
                <w:tcW w:w="425" w:type="dxa"/>
                <w:tcBorders>
                  <w:left w:val="nil"/>
                </w:tcBorders>
                <w:shd w:val="clear" w:color="auto" w:fill="E5EAEF"/>
                <w:vAlign w:val="center"/>
              </w:tcPr>
              <w:p w14:paraId="2D3670CF" w14:textId="77777777" w:rsidR="00934E50" w:rsidRPr="006E63EE" w:rsidRDefault="00934E50" w:rsidP="00EF14B9">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r>
      <w:tr w:rsidR="00934E50" w14:paraId="0B0993EC" w14:textId="77777777" w:rsidTr="00EF14B9">
        <w:trPr>
          <w:trHeight w:val="337"/>
          <w:jc w:val="center"/>
        </w:trPr>
        <w:tc>
          <w:tcPr>
            <w:tcW w:w="1985" w:type="dxa"/>
            <w:tcBorders>
              <w:right w:val="nil"/>
            </w:tcBorders>
            <w:shd w:val="clear" w:color="auto" w:fill="E5EAEF"/>
            <w:vAlign w:val="center"/>
          </w:tcPr>
          <w:p w14:paraId="39A970CB" w14:textId="77777777" w:rsidR="00934E50" w:rsidRPr="00607DC1" w:rsidRDefault="00934E50" w:rsidP="00EF14B9">
            <w:pPr>
              <w:pStyle w:val="Headinglevelthree"/>
              <w:spacing w:after="0"/>
              <w:rPr>
                <w:color w:val="auto"/>
                <w:sz w:val="20"/>
                <w:szCs w:val="20"/>
                <w:lang w:val="en-GB"/>
              </w:rPr>
            </w:pPr>
            <w:bookmarkStart w:id="0" w:name="_Hlk104888476"/>
            <w:r w:rsidRPr="00607DC1">
              <w:rPr>
                <w:color w:val="auto"/>
                <w:sz w:val="20"/>
                <w:szCs w:val="20"/>
                <w:lang w:val="en-GB"/>
              </w:rPr>
              <w:t>Supply chain</w:t>
            </w:r>
            <w:r>
              <w:rPr>
                <w:color w:val="auto"/>
                <w:sz w:val="20"/>
                <w:szCs w:val="20"/>
                <w:lang w:val="en-GB"/>
              </w:rPr>
              <w:t xml:space="preserve"> and procurement</w:t>
            </w:r>
          </w:p>
        </w:tc>
        <w:sdt>
          <w:sdtPr>
            <w:rPr>
              <w:color w:val="auto"/>
              <w:sz w:val="22"/>
              <w:szCs w:val="22"/>
              <w:lang w:val="en-GB"/>
            </w:rPr>
            <w:id w:val="1184554173"/>
            <w14:checkbox>
              <w14:checked w14:val="1"/>
              <w14:checkedState w14:val="2612" w14:font="MS Gothic"/>
              <w14:uncheckedState w14:val="2610" w14:font="MS Gothic"/>
            </w14:checkbox>
          </w:sdtPr>
          <w:sdtContent>
            <w:tc>
              <w:tcPr>
                <w:tcW w:w="428" w:type="dxa"/>
                <w:tcBorders>
                  <w:left w:val="nil"/>
                </w:tcBorders>
                <w:shd w:val="clear" w:color="auto" w:fill="E5EAEF"/>
                <w:vAlign w:val="center"/>
              </w:tcPr>
              <w:p w14:paraId="3458F357" w14:textId="5241FB30" w:rsidR="00934E50" w:rsidRPr="006E63EE" w:rsidRDefault="00934E50" w:rsidP="00EF14B9">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537C110B" w14:textId="77777777" w:rsidR="00934E50" w:rsidRDefault="00934E50" w:rsidP="00EF14B9">
            <w:pPr>
              <w:pStyle w:val="Headinglevelthree"/>
              <w:spacing w:after="0"/>
              <w:rPr>
                <w:color w:val="auto"/>
                <w:sz w:val="20"/>
                <w:szCs w:val="20"/>
                <w:lang w:val="en-GB"/>
              </w:rPr>
            </w:pPr>
            <w:r w:rsidRPr="00607DC1">
              <w:rPr>
                <w:color w:val="auto"/>
                <w:sz w:val="20"/>
                <w:szCs w:val="20"/>
                <w:lang w:val="en-GB"/>
              </w:rPr>
              <w:t xml:space="preserve">Sustainable </w:t>
            </w:r>
          </w:p>
          <w:p w14:paraId="59A6B4ED"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models of care</w:t>
            </w:r>
          </w:p>
        </w:tc>
        <w:sdt>
          <w:sdtPr>
            <w:rPr>
              <w:color w:val="auto"/>
              <w:sz w:val="22"/>
              <w:szCs w:val="22"/>
              <w:lang w:val="en-GB"/>
            </w:rPr>
            <w:id w:val="289634679"/>
            <w14:checkbox>
              <w14:checked w14:val="1"/>
              <w14:checkedState w14:val="2612" w14:font="MS Gothic"/>
              <w14:uncheckedState w14:val="2610" w14:font="MS Gothic"/>
            </w14:checkbox>
          </w:sdtPr>
          <w:sdtContent>
            <w:tc>
              <w:tcPr>
                <w:tcW w:w="427" w:type="dxa"/>
                <w:tcBorders>
                  <w:left w:val="nil"/>
                </w:tcBorders>
                <w:shd w:val="clear" w:color="auto" w:fill="E5EAEF"/>
                <w:vAlign w:val="center"/>
              </w:tcPr>
              <w:p w14:paraId="6B77D172" w14:textId="7131F299" w:rsidR="00934E50" w:rsidRPr="006E63EE" w:rsidRDefault="00934E50" w:rsidP="00EF14B9">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6EAAEB16"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Travel and transport</w:t>
            </w:r>
          </w:p>
        </w:tc>
        <w:sdt>
          <w:sdtPr>
            <w:rPr>
              <w:color w:val="auto"/>
              <w:sz w:val="22"/>
              <w:szCs w:val="22"/>
              <w:lang w:val="en-GB"/>
            </w:rPr>
            <w:id w:val="849764594"/>
            <w14:checkbox>
              <w14:checked w14:val="0"/>
              <w14:checkedState w14:val="2612" w14:font="MS Gothic"/>
              <w14:uncheckedState w14:val="2610" w14:font="MS Gothic"/>
            </w14:checkbox>
          </w:sdtPr>
          <w:sdtContent>
            <w:tc>
              <w:tcPr>
                <w:tcW w:w="426" w:type="dxa"/>
                <w:tcBorders>
                  <w:left w:val="nil"/>
                </w:tcBorders>
                <w:shd w:val="clear" w:color="auto" w:fill="E5EAEF"/>
                <w:vAlign w:val="center"/>
              </w:tcPr>
              <w:p w14:paraId="2E09A1C1" w14:textId="77777777" w:rsidR="00934E50" w:rsidRPr="006E63EE" w:rsidRDefault="00934E50" w:rsidP="00EF14B9">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428F3F35" w14:textId="77777777" w:rsidR="00934E50" w:rsidRPr="00607DC1" w:rsidRDefault="00934E50" w:rsidP="00EF14B9">
            <w:pPr>
              <w:pStyle w:val="Headinglevelthree"/>
              <w:spacing w:after="0"/>
              <w:rPr>
                <w:color w:val="auto"/>
                <w:sz w:val="20"/>
                <w:szCs w:val="20"/>
                <w:lang w:val="en-GB"/>
              </w:rPr>
            </w:pPr>
            <w:r w:rsidRPr="00607DC1">
              <w:rPr>
                <w:color w:val="auto"/>
                <w:sz w:val="20"/>
                <w:szCs w:val="20"/>
                <w:lang w:val="en-GB"/>
              </w:rPr>
              <w:t xml:space="preserve">Workforce, </w:t>
            </w:r>
            <w:proofErr w:type="gramStart"/>
            <w:r w:rsidRPr="00607DC1">
              <w:rPr>
                <w:color w:val="auto"/>
                <w:sz w:val="20"/>
                <w:szCs w:val="20"/>
                <w:lang w:val="en-GB"/>
              </w:rPr>
              <w:t>networks</w:t>
            </w:r>
            <w:proofErr w:type="gramEnd"/>
            <w:r>
              <w:rPr>
                <w:color w:val="auto"/>
                <w:sz w:val="20"/>
                <w:szCs w:val="20"/>
                <w:lang w:val="en-GB"/>
              </w:rPr>
              <w:t xml:space="preserve"> and </w:t>
            </w:r>
            <w:r w:rsidRPr="00607DC1">
              <w:rPr>
                <w:color w:val="auto"/>
                <w:sz w:val="20"/>
                <w:szCs w:val="20"/>
                <w:lang w:val="en-GB"/>
              </w:rPr>
              <w:t>system leadership</w:t>
            </w:r>
          </w:p>
        </w:tc>
        <w:sdt>
          <w:sdtPr>
            <w:rPr>
              <w:color w:val="auto"/>
              <w:sz w:val="22"/>
              <w:szCs w:val="22"/>
              <w:lang w:val="en-GB"/>
            </w:rPr>
            <w:id w:val="2131899052"/>
            <w14:checkbox>
              <w14:checked w14:val="0"/>
              <w14:checkedState w14:val="2612" w14:font="MS Gothic"/>
              <w14:uncheckedState w14:val="2610" w14:font="MS Gothic"/>
            </w14:checkbox>
          </w:sdtPr>
          <w:sdtContent>
            <w:tc>
              <w:tcPr>
                <w:tcW w:w="425" w:type="dxa"/>
                <w:tcBorders>
                  <w:left w:val="nil"/>
                </w:tcBorders>
                <w:shd w:val="clear" w:color="auto" w:fill="E5EAEF"/>
                <w:vAlign w:val="center"/>
              </w:tcPr>
              <w:p w14:paraId="0C78A2C8" w14:textId="77777777" w:rsidR="00934E50" w:rsidRPr="006E63EE" w:rsidRDefault="00934E50" w:rsidP="00EF14B9">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bookmarkEnd w:id="0"/>
      <w:tr w:rsidR="00934E50" w14:paraId="62DE2900" w14:textId="77777777" w:rsidTr="00EF14B9">
        <w:trPr>
          <w:trHeight w:val="337"/>
          <w:jc w:val="center"/>
        </w:trPr>
        <w:tc>
          <w:tcPr>
            <w:tcW w:w="1985" w:type="dxa"/>
            <w:tcBorders>
              <w:right w:val="nil"/>
            </w:tcBorders>
            <w:vAlign w:val="center"/>
          </w:tcPr>
          <w:p w14:paraId="097C803B" w14:textId="77777777" w:rsidR="00934E50" w:rsidRPr="00607DC1" w:rsidRDefault="00934E50" w:rsidP="00EF14B9">
            <w:pPr>
              <w:pStyle w:val="Headinglevelthree"/>
              <w:spacing w:after="0"/>
              <w:rPr>
                <w:color w:val="auto"/>
                <w:sz w:val="20"/>
                <w:szCs w:val="20"/>
                <w:lang w:val="en-GB"/>
              </w:rPr>
            </w:pPr>
            <w:r>
              <w:rPr>
                <w:color w:val="auto"/>
                <w:sz w:val="20"/>
                <w:szCs w:val="20"/>
                <w:lang w:val="en-GB"/>
              </w:rPr>
              <w:t>Green/blue space and biodiversity</w:t>
            </w:r>
          </w:p>
        </w:tc>
        <w:sdt>
          <w:sdtPr>
            <w:rPr>
              <w:color w:val="auto"/>
              <w:sz w:val="22"/>
              <w:szCs w:val="22"/>
              <w:lang w:val="en-GB"/>
            </w:rPr>
            <w:id w:val="-406925187"/>
            <w14:checkbox>
              <w14:checked w14:val="0"/>
              <w14:checkedState w14:val="2612" w14:font="MS Gothic"/>
              <w14:uncheckedState w14:val="2610" w14:font="MS Gothic"/>
            </w14:checkbox>
          </w:sdtPr>
          <w:sdtContent>
            <w:tc>
              <w:tcPr>
                <w:tcW w:w="428" w:type="dxa"/>
                <w:tcBorders>
                  <w:left w:val="nil"/>
                </w:tcBorders>
                <w:vAlign w:val="center"/>
              </w:tcPr>
              <w:p w14:paraId="08501374" w14:textId="77777777" w:rsidR="00934E50" w:rsidRDefault="00934E50" w:rsidP="00EF14B9">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vAlign w:val="center"/>
          </w:tcPr>
          <w:p w14:paraId="03070F94" w14:textId="77777777" w:rsidR="00934E50" w:rsidRPr="00607DC1" w:rsidRDefault="00934E50" w:rsidP="00EF14B9">
            <w:pPr>
              <w:pStyle w:val="Headinglevelthree"/>
              <w:spacing w:after="0"/>
              <w:rPr>
                <w:color w:val="auto"/>
                <w:sz w:val="20"/>
                <w:szCs w:val="20"/>
                <w:lang w:val="en-GB"/>
              </w:rPr>
            </w:pPr>
            <w:r>
              <w:rPr>
                <w:color w:val="auto"/>
                <w:sz w:val="20"/>
                <w:szCs w:val="20"/>
                <w:lang w:val="en-GB"/>
              </w:rPr>
              <w:t>Digital transformation</w:t>
            </w:r>
          </w:p>
        </w:tc>
        <w:tc>
          <w:tcPr>
            <w:tcW w:w="427" w:type="dxa"/>
            <w:tcBorders>
              <w:left w:val="nil"/>
            </w:tcBorders>
            <w:vAlign w:val="center"/>
          </w:tcPr>
          <w:p w14:paraId="40ED4A5A" w14:textId="77777777" w:rsidR="00934E50" w:rsidRDefault="00000000" w:rsidP="00EF14B9">
            <w:pPr>
              <w:pStyle w:val="Headinglevelthree"/>
              <w:spacing w:after="0"/>
              <w:rPr>
                <w:color w:val="auto"/>
                <w:sz w:val="22"/>
                <w:szCs w:val="22"/>
                <w:lang w:val="en-GB"/>
              </w:rPr>
            </w:pPr>
            <w:sdt>
              <w:sdtPr>
                <w:rPr>
                  <w:color w:val="auto"/>
                  <w:sz w:val="22"/>
                  <w:szCs w:val="22"/>
                  <w:lang w:val="en-GB"/>
                </w:rPr>
                <w:id w:val="-744033895"/>
                <w14:checkbox>
                  <w14:checked w14:val="0"/>
                  <w14:checkedState w14:val="2612" w14:font="MS Gothic"/>
                  <w14:uncheckedState w14:val="2610" w14:font="MS Gothic"/>
                </w14:checkbox>
              </w:sdtPr>
              <w:sdtContent>
                <w:r w:rsidR="00934E50" w:rsidRPr="006E63EE">
                  <w:rPr>
                    <w:rFonts w:ascii="MS Gothic" w:eastAsia="MS Gothic" w:hAnsi="MS Gothic" w:hint="eastAsia"/>
                    <w:color w:val="auto"/>
                    <w:sz w:val="22"/>
                    <w:szCs w:val="22"/>
                    <w:lang w:val="en-GB"/>
                  </w:rPr>
                  <w:t>☐</w:t>
                </w:r>
              </w:sdtContent>
            </w:sdt>
          </w:p>
        </w:tc>
        <w:tc>
          <w:tcPr>
            <w:tcW w:w="1982" w:type="dxa"/>
            <w:tcBorders>
              <w:right w:val="nil"/>
            </w:tcBorders>
            <w:vAlign w:val="center"/>
          </w:tcPr>
          <w:p w14:paraId="6A4A3144" w14:textId="77777777" w:rsidR="00934E50" w:rsidRPr="00607DC1" w:rsidRDefault="00934E50" w:rsidP="00EF14B9">
            <w:pPr>
              <w:pStyle w:val="Headinglevelthree"/>
              <w:spacing w:after="0"/>
              <w:rPr>
                <w:color w:val="auto"/>
                <w:sz w:val="20"/>
                <w:szCs w:val="20"/>
                <w:lang w:val="en-GB"/>
              </w:rPr>
            </w:pPr>
            <w:r>
              <w:rPr>
                <w:color w:val="auto"/>
                <w:sz w:val="20"/>
                <w:szCs w:val="20"/>
                <w:lang w:val="en-GB"/>
              </w:rPr>
              <w:t>Sustainability education</w:t>
            </w:r>
          </w:p>
        </w:tc>
        <w:tc>
          <w:tcPr>
            <w:tcW w:w="426" w:type="dxa"/>
            <w:tcBorders>
              <w:left w:val="nil"/>
            </w:tcBorders>
            <w:vAlign w:val="center"/>
          </w:tcPr>
          <w:p w14:paraId="3B50F4FD" w14:textId="77777777" w:rsidR="00934E50" w:rsidRDefault="00000000" w:rsidP="00EF14B9">
            <w:pPr>
              <w:pStyle w:val="Headinglevelthree"/>
              <w:spacing w:after="0"/>
              <w:rPr>
                <w:color w:val="auto"/>
                <w:sz w:val="22"/>
                <w:szCs w:val="22"/>
                <w:lang w:val="en-GB"/>
              </w:rPr>
            </w:pPr>
            <w:sdt>
              <w:sdtPr>
                <w:rPr>
                  <w:color w:val="auto"/>
                  <w:sz w:val="22"/>
                  <w:szCs w:val="22"/>
                  <w:lang w:val="en-GB"/>
                </w:rPr>
                <w:id w:val="1593354838"/>
                <w14:checkbox>
                  <w14:checked w14:val="0"/>
                  <w14:checkedState w14:val="2612" w14:font="MS Gothic"/>
                  <w14:uncheckedState w14:val="2610" w14:font="MS Gothic"/>
                </w14:checkbox>
              </w:sdtPr>
              <w:sdtContent>
                <w:r w:rsidR="00934E50" w:rsidRPr="006E63EE">
                  <w:rPr>
                    <w:rFonts w:ascii="MS Gothic" w:eastAsia="MS Gothic" w:hAnsi="MS Gothic" w:hint="eastAsia"/>
                    <w:color w:val="auto"/>
                    <w:sz w:val="22"/>
                    <w:szCs w:val="22"/>
                    <w:lang w:val="en-GB"/>
                  </w:rPr>
                  <w:t>☐</w:t>
                </w:r>
              </w:sdtContent>
            </w:sdt>
          </w:p>
        </w:tc>
        <w:tc>
          <w:tcPr>
            <w:tcW w:w="2126" w:type="dxa"/>
            <w:tcBorders>
              <w:right w:val="nil"/>
            </w:tcBorders>
            <w:vAlign w:val="center"/>
          </w:tcPr>
          <w:p w14:paraId="2BD36E58" w14:textId="77777777" w:rsidR="00934E50" w:rsidRPr="00607DC1" w:rsidRDefault="00934E50" w:rsidP="00EF14B9">
            <w:pPr>
              <w:pStyle w:val="Headinglevelthree"/>
              <w:spacing w:after="0"/>
              <w:rPr>
                <w:color w:val="auto"/>
                <w:sz w:val="20"/>
                <w:szCs w:val="20"/>
                <w:lang w:val="en-GB"/>
              </w:rPr>
            </w:pPr>
          </w:p>
        </w:tc>
        <w:tc>
          <w:tcPr>
            <w:tcW w:w="425" w:type="dxa"/>
            <w:tcBorders>
              <w:left w:val="nil"/>
            </w:tcBorders>
            <w:vAlign w:val="center"/>
          </w:tcPr>
          <w:p w14:paraId="693CF70A" w14:textId="77777777" w:rsidR="00934E50" w:rsidRDefault="00934E50" w:rsidP="00EF14B9">
            <w:pPr>
              <w:pStyle w:val="Headinglevelthree"/>
              <w:spacing w:after="0"/>
              <w:rPr>
                <w:color w:val="auto"/>
                <w:sz w:val="22"/>
                <w:szCs w:val="22"/>
                <w:lang w:val="en-GB"/>
              </w:rPr>
            </w:pPr>
          </w:p>
        </w:tc>
      </w:tr>
      <w:tr w:rsidR="00934E50" w14:paraId="15F44AEC" w14:textId="77777777" w:rsidTr="00EF14B9">
        <w:trPr>
          <w:trHeight w:val="337"/>
          <w:jc w:val="center"/>
        </w:trPr>
        <w:tc>
          <w:tcPr>
            <w:tcW w:w="9781" w:type="dxa"/>
            <w:gridSpan w:val="8"/>
            <w:vAlign w:val="center"/>
          </w:tcPr>
          <w:p w14:paraId="7FD7D431" w14:textId="77777777" w:rsidR="00934E50" w:rsidRPr="006E63EE" w:rsidRDefault="00934E50" w:rsidP="00EF14B9">
            <w:pPr>
              <w:pStyle w:val="Headinglevelthree"/>
              <w:spacing w:after="0"/>
              <w:rPr>
                <w:color w:val="auto"/>
                <w:sz w:val="22"/>
                <w:szCs w:val="22"/>
                <w:lang w:val="en-GB"/>
              </w:rPr>
            </w:pPr>
            <w:r>
              <w:rPr>
                <w:color w:val="auto"/>
                <w:sz w:val="22"/>
                <w:szCs w:val="22"/>
                <w:lang w:val="en-GB"/>
              </w:rPr>
              <w:t xml:space="preserve">Other (please specify): </w:t>
            </w:r>
          </w:p>
        </w:tc>
      </w:tr>
    </w:tbl>
    <w:p w14:paraId="2C6202C6" w14:textId="77777777" w:rsidR="00934E50" w:rsidRDefault="00934E50" w:rsidP="00934E50">
      <w:pPr>
        <w:rPr>
          <w:b/>
          <w:sz w:val="32"/>
          <w:szCs w:val="32"/>
        </w:rPr>
      </w:pPr>
    </w:p>
    <w:p w14:paraId="0D3C8672" w14:textId="77777777" w:rsidR="00B919A3" w:rsidRDefault="00B919A3"/>
    <w:p w14:paraId="65FE7D55" w14:textId="77777777" w:rsidR="00B919A3" w:rsidRPr="00B022D1" w:rsidRDefault="00B919A3">
      <w:pPr>
        <w:rPr>
          <w:b/>
        </w:rPr>
      </w:pPr>
      <w:r w:rsidRPr="00B022D1">
        <w:rPr>
          <w:b/>
        </w:rPr>
        <w:t>Headline outcomes:</w:t>
      </w:r>
    </w:p>
    <w:p w14:paraId="6F1B0F60" w14:textId="77777777" w:rsidR="00B022D1" w:rsidRDefault="00B022D1" w:rsidP="00EA3593">
      <w:pPr>
        <w:pStyle w:val="ListParagraph"/>
        <w:numPr>
          <w:ilvl w:val="0"/>
          <w:numId w:val="3"/>
        </w:numPr>
      </w:pPr>
      <w:r>
        <w:t xml:space="preserve">The </w:t>
      </w:r>
      <w:r w:rsidR="008A0FED">
        <w:t>D</w:t>
      </w:r>
      <w:r>
        <w:t xml:space="preserve">epartment of </w:t>
      </w:r>
      <w:r w:rsidR="008A0FED">
        <w:t>S</w:t>
      </w:r>
      <w:r>
        <w:t xml:space="preserve">exual </w:t>
      </w:r>
      <w:r w:rsidR="008A0FED">
        <w:t>H</w:t>
      </w:r>
      <w:r>
        <w:t>ealth (</w:t>
      </w:r>
      <w:proofErr w:type="spellStart"/>
      <w:r>
        <w:t>DoSH</w:t>
      </w:r>
      <w:proofErr w:type="spellEnd"/>
      <w:r>
        <w:t>) has</w:t>
      </w:r>
      <w:r w:rsidR="00CB5507">
        <w:t xml:space="preserve"> made re-usable metal rather than single-use plastic specula available for clinicians to reduce its environmental impact</w:t>
      </w:r>
      <w:r w:rsidR="00EA3593">
        <w:t xml:space="preserve">.  </w:t>
      </w:r>
      <w:r w:rsidR="00CB5507">
        <w:t xml:space="preserve">In the first 5 weeks of making them available, </w:t>
      </w:r>
      <w:r>
        <w:t>nearly a third of vaginal examinations</w:t>
      </w:r>
      <w:r w:rsidR="00CB5507">
        <w:t xml:space="preserve"> were undertaken with a metal rather than plastic speculum.</w:t>
      </w:r>
      <w:r>
        <w:t xml:space="preserve">  </w:t>
      </w:r>
    </w:p>
    <w:p w14:paraId="7C29CC7C" w14:textId="77777777" w:rsidR="00B022D1" w:rsidRDefault="00B022D1" w:rsidP="00EA3593">
      <w:pPr>
        <w:pStyle w:val="ListParagraph"/>
        <w:numPr>
          <w:ilvl w:val="0"/>
          <w:numId w:val="3"/>
        </w:numPr>
      </w:pPr>
      <w:r>
        <w:t xml:space="preserve">If this level of usage continues, the department will save around 500kg Co2e </w:t>
      </w:r>
      <w:r w:rsidR="00244D0C">
        <w:t xml:space="preserve">in the first </w:t>
      </w:r>
      <w:proofErr w:type="gramStart"/>
      <w:r w:rsidR="00244D0C">
        <w:t>year</w:t>
      </w:r>
      <w:r>
        <w:t xml:space="preserve">  However</w:t>
      </w:r>
      <w:proofErr w:type="gramEnd"/>
      <w:r>
        <w:t>, if the up</w:t>
      </w:r>
      <w:r w:rsidR="00EA3593">
        <w:t>take</w:t>
      </w:r>
      <w:r>
        <w:t xml:space="preserve"> of metal specula</w:t>
      </w:r>
      <w:r w:rsidR="00CB5507">
        <w:t xml:space="preserve"> usage</w:t>
      </w:r>
      <w:r>
        <w:t xml:space="preserve"> can be increased to 80% in the department, they will save around 1800kgCO2e </w:t>
      </w:r>
      <w:r w:rsidR="00244D0C">
        <w:t xml:space="preserve">in the first year. </w:t>
      </w:r>
    </w:p>
    <w:p w14:paraId="6A969F90" w14:textId="77777777" w:rsidR="008A0FED" w:rsidRDefault="008A0FED" w:rsidP="008A0FED">
      <w:pPr>
        <w:pStyle w:val="ListParagraph"/>
        <w:numPr>
          <w:ilvl w:val="0"/>
          <w:numId w:val="3"/>
        </w:numPr>
      </w:pPr>
      <w:r>
        <w:t>Clinician-reported acceptability, clinical utility and patient satisfaction was equivalent or better for metal compared to plastic specula.</w:t>
      </w:r>
    </w:p>
    <w:p w14:paraId="2F745485" w14:textId="77777777" w:rsidR="00BD44C8" w:rsidRDefault="00BD44C8" w:rsidP="008A0FED">
      <w:pPr>
        <w:pStyle w:val="ListParagraph"/>
        <w:numPr>
          <w:ilvl w:val="0"/>
          <w:numId w:val="3"/>
        </w:numPr>
      </w:pPr>
      <w:r>
        <w:t>There was an initial upfront cost of £2500 to purchase 100 metal specula.  Following this initial cost, the initiative is expected to be cost neutral with the cost of sterilisation per unit predicted to the equal to the saving from purchasing fewer plastic specula.</w:t>
      </w:r>
    </w:p>
    <w:p w14:paraId="1CAE4056" w14:textId="77777777" w:rsidR="00934E50" w:rsidRDefault="00934E50" w:rsidP="00934E50">
      <w:pPr>
        <w:pStyle w:val="Heading2"/>
        <w:rPr>
          <w:lang w:eastAsia="en-GB"/>
        </w:rPr>
      </w:pPr>
      <w:bookmarkStart w:id="1" w:name="_Hlk109313991"/>
    </w:p>
    <w:p w14:paraId="0229CBFA" w14:textId="38BF445C" w:rsidR="00934E50" w:rsidRPr="00A26CAF" w:rsidRDefault="00934E50" w:rsidP="00934E50">
      <w:pPr>
        <w:pStyle w:val="Heading2"/>
        <w:rPr>
          <w:lang w:eastAsia="en-GB"/>
        </w:rPr>
      </w:pPr>
      <w:r w:rsidRPr="00A26CAF">
        <w:rPr>
          <w:lang w:eastAsia="en-GB"/>
        </w:rPr>
        <w:t xml:space="preserve">What was the problem? </w:t>
      </w:r>
      <w:bookmarkEnd w:id="1"/>
    </w:p>
    <w:p w14:paraId="1CDB39CD" w14:textId="77777777" w:rsidR="00B022D1" w:rsidRDefault="00B022D1"/>
    <w:p w14:paraId="21452BE4" w14:textId="77777777" w:rsidR="00B919A3" w:rsidRPr="001B3276" w:rsidRDefault="00B919A3">
      <w:pPr>
        <w:rPr>
          <w:b/>
        </w:rPr>
      </w:pPr>
      <w:r w:rsidRPr="001B3276">
        <w:rPr>
          <w:b/>
        </w:rPr>
        <w:t>Background:</w:t>
      </w:r>
    </w:p>
    <w:p w14:paraId="75B18911" w14:textId="77777777" w:rsidR="00B919A3" w:rsidRDefault="00B919A3">
      <w:r>
        <w:t xml:space="preserve">Like </w:t>
      </w:r>
      <w:r w:rsidR="00D50B33">
        <w:t xml:space="preserve">many areas in </w:t>
      </w:r>
      <w:r>
        <w:t xml:space="preserve">healthcare, </w:t>
      </w:r>
      <w:proofErr w:type="spellStart"/>
      <w:r>
        <w:t>DoSH</w:t>
      </w:r>
      <w:proofErr w:type="spellEnd"/>
      <w:r>
        <w:t xml:space="preserve"> moved over to using single</w:t>
      </w:r>
      <w:r w:rsidR="006D1A88">
        <w:t>-</w:t>
      </w:r>
      <w:r>
        <w:t xml:space="preserve">use plastic specula for </w:t>
      </w:r>
      <w:r w:rsidR="001B3276">
        <w:t>vaginal</w:t>
      </w:r>
      <w:r>
        <w:t xml:space="preserve"> examination </w:t>
      </w:r>
      <w:r w:rsidR="001B3276">
        <w:t>several decades</w:t>
      </w:r>
      <w:r>
        <w:t xml:space="preserve"> ago because of perceived decreased cost and infection risk. However, single use </w:t>
      </w:r>
      <w:r w:rsidR="00D50B33">
        <w:t xml:space="preserve">plastic </w:t>
      </w:r>
      <w:r>
        <w:t xml:space="preserve">devices have been shown to be associated with increased </w:t>
      </w:r>
      <w:r w:rsidR="001B3276">
        <w:t xml:space="preserve">greenhouse gas </w:t>
      </w:r>
      <w:r w:rsidR="001B3276">
        <w:lastRenderedPageBreak/>
        <w:t xml:space="preserve">emissions </w:t>
      </w:r>
      <w:r>
        <w:t>as well as</w:t>
      </w:r>
      <w:r w:rsidR="001B3276">
        <w:t xml:space="preserve"> worsening of</w:t>
      </w:r>
      <w:r>
        <w:t xml:space="preserve"> other environmental impact factors</w:t>
      </w:r>
      <w:r w:rsidR="00D50B33">
        <w:t>, with no evidence of an increased infection risk</w:t>
      </w:r>
      <w:r w:rsidR="008A0FED">
        <w:t>,</w:t>
      </w:r>
      <w:r w:rsidR="006D1A88">
        <w:t xml:space="preserve"> or worsened patient experience or clinical utility.</w:t>
      </w:r>
    </w:p>
    <w:p w14:paraId="7F14F466" w14:textId="77777777" w:rsidR="00934E50" w:rsidRDefault="00934E50" w:rsidP="00934E50">
      <w:pPr>
        <w:pStyle w:val="Heading2"/>
        <w:rPr>
          <w:rFonts w:eastAsia="MS Mincho"/>
          <w:lang w:eastAsia="en-GB"/>
        </w:rPr>
      </w:pPr>
    </w:p>
    <w:p w14:paraId="1564127D" w14:textId="1E74BA1F" w:rsidR="00934E50" w:rsidRPr="00A26CAF" w:rsidRDefault="00934E50" w:rsidP="00934E50">
      <w:pPr>
        <w:pStyle w:val="Heading2"/>
        <w:rPr>
          <w:rFonts w:eastAsia="MS Mincho"/>
          <w:lang w:eastAsia="en-GB"/>
        </w:rPr>
      </w:pPr>
      <w:r w:rsidRPr="00A26CAF">
        <w:rPr>
          <w:rFonts w:eastAsia="MS Mincho"/>
          <w:lang w:eastAsia="en-GB"/>
        </w:rPr>
        <w:t xml:space="preserve">What was the solution? </w:t>
      </w:r>
    </w:p>
    <w:p w14:paraId="3AC14E86" w14:textId="77777777" w:rsidR="00934E50" w:rsidRPr="00A26CAF" w:rsidRDefault="00934E50" w:rsidP="00934E50">
      <w:pPr>
        <w:pStyle w:val="Heading2"/>
        <w:rPr>
          <w:rFonts w:eastAsia="MS Mincho"/>
          <w:lang w:eastAsia="en-GB"/>
        </w:rPr>
      </w:pPr>
      <w:r w:rsidRPr="00A26CAF">
        <w:rPr>
          <w:rFonts w:eastAsia="MS Mincho"/>
          <w:lang w:eastAsia="en-GB"/>
        </w:rPr>
        <w:t>What were the challenges?</w:t>
      </w:r>
    </w:p>
    <w:p w14:paraId="36E436B4" w14:textId="77777777" w:rsidR="001B3276" w:rsidRDefault="001B3276"/>
    <w:p w14:paraId="6C137606" w14:textId="77777777" w:rsidR="00B919A3" w:rsidRDefault="00B919A3">
      <w:pPr>
        <w:rPr>
          <w:b/>
        </w:rPr>
      </w:pPr>
      <w:r w:rsidRPr="001B3276">
        <w:rPr>
          <w:b/>
        </w:rPr>
        <w:t>Initiative</w:t>
      </w:r>
    </w:p>
    <w:p w14:paraId="41A3ADD4" w14:textId="77777777" w:rsidR="006D1A88" w:rsidRDefault="001B3276" w:rsidP="00B919A3">
      <w:r>
        <w:t xml:space="preserve">As </w:t>
      </w:r>
      <w:proofErr w:type="spellStart"/>
      <w:r>
        <w:t>DoSH</w:t>
      </w:r>
      <w:proofErr w:type="spellEnd"/>
      <w:r>
        <w:t xml:space="preserve"> no longer had stainless steel speculum available in the department, </w:t>
      </w:r>
      <w:r w:rsidR="006D1A88">
        <w:t xml:space="preserve">there was a requirement to purchase metal specula to enable this change in practice.  </w:t>
      </w:r>
      <w:proofErr w:type="spellStart"/>
      <w:r>
        <w:t>DoSH</w:t>
      </w:r>
      <w:proofErr w:type="spellEnd"/>
      <w:r>
        <w:t xml:space="preserve"> can use up to 60 specula per day, depending on the type of clinics running. The turn-around time for sterilisation was advised</w:t>
      </w:r>
      <w:r w:rsidR="008A0FED">
        <w:t xml:space="preserve"> by the HSDU</w:t>
      </w:r>
      <w:r>
        <w:t xml:space="preserve"> to be around 24 hours.  It was therefore felt that we would need 100 metal </w:t>
      </w:r>
      <w:proofErr w:type="gramStart"/>
      <w:r>
        <w:t>speculum</w:t>
      </w:r>
      <w:proofErr w:type="gramEnd"/>
      <w:r>
        <w:t xml:space="preserve"> to ensure consistent availability in clinic.  </w:t>
      </w:r>
    </w:p>
    <w:p w14:paraId="3F507C5A" w14:textId="77777777" w:rsidR="00B919A3" w:rsidRDefault="00EA3593" w:rsidP="00B919A3">
      <w:r>
        <w:t xml:space="preserve">In July 2022, </w:t>
      </w:r>
      <w:proofErr w:type="spellStart"/>
      <w:r w:rsidR="00B919A3">
        <w:t>DoSH</w:t>
      </w:r>
      <w:proofErr w:type="spellEnd"/>
      <w:r w:rsidR="00B919A3">
        <w:t xml:space="preserve"> </w:t>
      </w:r>
      <w:r>
        <w:t>had a bid approved through the Welsh Government Health and Social Care Climate Emergency National Programme fund</w:t>
      </w:r>
      <w:r w:rsidR="00B919A3">
        <w:t xml:space="preserve"> to purchase 100 metal </w:t>
      </w:r>
      <w:proofErr w:type="gramStart"/>
      <w:r w:rsidR="00B919A3">
        <w:t>speculum</w:t>
      </w:r>
      <w:proofErr w:type="gramEnd"/>
      <w:r w:rsidR="006D1A88">
        <w:t xml:space="preserve">.  </w:t>
      </w:r>
      <w:r w:rsidR="00B919A3">
        <w:t xml:space="preserve">The department was mindful </w:t>
      </w:r>
      <w:r w:rsidR="001B3276">
        <w:t>of the</w:t>
      </w:r>
      <w:r w:rsidR="00B919A3">
        <w:t xml:space="preserve"> carbon footprint and ethical consideration</w:t>
      </w:r>
      <w:r w:rsidR="001B3276">
        <w:t>s related to the</w:t>
      </w:r>
      <w:r w:rsidR="00B919A3">
        <w:t xml:space="preserve"> manufacture and transportation of the specul</w:t>
      </w:r>
      <w:r w:rsidR="001B3276">
        <w:t>a</w:t>
      </w:r>
      <w:r w:rsidR="00B919A3">
        <w:t xml:space="preserve"> which lead to</w:t>
      </w:r>
      <w:r w:rsidR="001B3276">
        <w:t xml:space="preserve"> some procurement issues and </w:t>
      </w:r>
      <w:r w:rsidR="00B919A3">
        <w:t>a delay in the</w:t>
      </w:r>
      <w:r w:rsidR="001B3276">
        <w:t xml:space="preserve"> devices </w:t>
      </w:r>
      <w:r w:rsidR="00B919A3">
        <w:t>arriving</w:t>
      </w:r>
      <w:r w:rsidR="001B3276">
        <w:t>.  In February 2023</w:t>
      </w:r>
      <w:r w:rsidR="00360A51">
        <w:t xml:space="preserve"> 100 small/medium metal specula arriving in the department at a cost of</w:t>
      </w:r>
      <w:r>
        <w:t xml:space="preserve"> </w:t>
      </w:r>
      <w:r w:rsidR="00DB5E2C">
        <w:t xml:space="preserve">just under </w:t>
      </w:r>
      <w:r>
        <w:t>£2500.</w:t>
      </w:r>
    </w:p>
    <w:p w14:paraId="0DBF5679" w14:textId="77777777" w:rsidR="00B919A3" w:rsidRDefault="00360A51" w:rsidP="00B919A3">
      <w:r>
        <w:t>A staff training session</w:t>
      </w:r>
      <w:r w:rsidR="001B3276">
        <w:t>s</w:t>
      </w:r>
      <w:r>
        <w:t xml:space="preserve"> w</w:t>
      </w:r>
      <w:r w:rsidR="001B3276">
        <w:t>ere</w:t>
      </w:r>
      <w:r>
        <w:t xml:space="preserve"> held</w:t>
      </w:r>
      <w:r w:rsidR="001B3276">
        <w:t xml:space="preserve"> explaining the rationale for the change being implemented,</w:t>
      </w:r>
      <w:r>
        <w:t xml:space="preserve"> and patient information </w:t>
      </w:r>
      <w:r w:rsidR="001B3276">
        <w:t>w</w:t>
      </w:r>
      <w:r>
        <w:t>as displayed in the clinic (see appendix</w:t>
      </w:r>
      <w:r w:rsidR="008A0FED">
        <w:t xml:space="preserve"> 1</w:t>
      </w:r>
      <w:r>
        <w:t>)</w:t>
      </w:r>
    </w:p>
    <w:p w14:paraId="00652844" w14:textId="77777777" w:rsidR="00B919A3" w:rsidRDefault="00B919A3" w:rsidP="00B919A3">
      <w:r>
        <w:t>On</w:t>
      </w:r>
      <w:r w:rsidR="00360A51">
        <w:t xml:space="preserve"> week commencing 20</w:t>
      </w:r>
      <w:r w:rsidR="00360A51" w:rsidRPr="00360A51">
        <w:rPr>
          <w:vertAlign w:val="superscript"/>
        </w:rPr>
        <w:t>th</w:t>
      </w:r>
      <w:r w:rsidR="00360A51">
        <w:t xml:space="preserve"> March</w:t>
      </w:r>
      <w:r>
        <w:t xml:space="preserve"> 2023, </w:t>
      </w:r>
      <w:r w:rsidR="00360A51">
        <w:t xml:space="preserve">the </w:t>
      </w:r>
      <w:r>
        <w:t xml:space="preserve">100 metal specula were distributed </w:t>
      </w:r>
      <w:r w:rsidR="001B3276">
        <w:t>amongst the</w:t>
      </w:r>
      <w:r>
        <w:t xml:space="preserve"> </w:t>
      </w:r>
      <w:r w:rsidR="00360A51">
        <w:t>coil procedure trolleys and</w:t>
      </w:r>
      <w:r w:rsidR="001B3276">
        <w:t xml:space="preserve"> general examination</w:t>
      </w:r>
      <w:r>
        <w:t xml:space="preserve"> troll</w:t>
      </w:r>
      <w:r w:rsidR="00360A51">
        <w:t xml:space="preserve">eys </w:t>
      </w:r>
      <w:r>
        <w:t xml:space="preserve">in the </w:t>
      </w:r>
      <w:r w:rsidR="00360A51">
        <w:t>10 main departmental ex</w:t>
      </w:r>
      <w:r>
        <w:t xml:space="preserve">amination rooms.  </w:t>
      </w:r>
      <w:r w:rsidR="00360A51">
        <w:t xml:space="preserve">Some </w:t>
      </w:r>
      <w:r w:rsidR="001B3276">
        <w:t xml:space="preserve">small and medium </w:t>
      </w:r>
      <w:r w:rsidR="00360A51">
        <w:t>plastic specula also remained in the trolleys for patient or clinician preference, a</w:t>
      </w:r>
      <w:r w:rsidR="001B3276">
        <w:t>s well as a small number of plastic specula of different sizes that are occasionally required</w:t>
      </w:r>
      <w:r w:rsidR="00360A51">
        <w:t>.</w:t>
      </w:r>
    </w:p>
    <w:p w14:paraId="60DC75D5" w14:textId="77777777" w:rsidR="00934E50" w:rsidRDefault="00934E50" w:rsidP="00934E50">
      <w:pPr>
        <w:pStyle w:val="Heading2"/>
        <w:rPr>
          <w:rFonts w:eastAsia="MS Mincho"/>
          <w:lang w:eastAsia="en-GB"/>
        </w:rPr>
      </w:pPr>
    </w:p>
    <w:p w14:paraId="740CC03C" w14:textId="62909CCE" w:rsidR="00934E50" w:rsidRPr="00A26CAF" w:rsidRDefault="00934E50" w:rsidP="00934E50">
      <w:pPr>
        <w:pStyle w:val="Heading2"/>
        <w:rPr>
          <w:rFonts w:eastAsia="MS Mincho"/>
          <w:lang w:eastAsia="en-GB"/>
        </w:rPr>
      </w:pPr>
      <w:r w:rsidRPr="00A26CAF">
        <w:rPr>
          <w:rFonts w:eastAsia="MS Mincho"/>
          <w:lang w:eastAsia="en-GB"/>
        </w:rPr>
        <w:t>What were the results/Impact?</w:t>
      </w:r>
    </w:p>
    <w:p w14:paraId="43C6770B" w14:textId="77777777" w:rsidR="00B919A3" w:rsidRDefault="00B919A3" w:rsidP="00B919A3"/>
    <w:p w14:paraId="2FD1BFA2" w14:textId="77777777" w:rsidR="00B919A3" w:rsidRPr="001B3276" w:rsidRDefault="00B919A3" w:rsidP="00B919A3">
      <w:pPr>
        <w:rPr>
          <w:b/>
        </w:rPr>
      </w:pPr>
      <w:r w:rsidRPr="001B3276">
        <w:rPr>
          <w:b/>
        </w:rPr>
        <w:t>Measurements</w:t>
      </w:r>
    </w:p>
    <w:p w14:paraId="1CB17B87" w14:textId="77777777" w:rsidR="00B919A3" w:rsidRDefault="00B919A3" w:rsidP="00B919A3">
      <w:r>
        <w:t>A record was kept of the number of specul</w:t>
      </w:r>
      <w:r w:rsidR="008A5C32">
        <w:t>a</w:t>
      </w:r>
      <w:r>
        <w:t xml:space="preserve"> sent for sterilisation</w:t>
      </w:r>
      <w:r w:rsidR="00360A51">
        <w:t xml:space="preserve"> on a daily basis.  Over the first 5 weeks period, 80 metal specul</w:t>
      </w:r>
      <w:r w:rsidR="008A5C32">
        <w:t>a</w:t>
      </w:r>
      <w:r w:rsidR="00360A51">
        <w:t xml:space="preserve"> were recorded as sent for sterilisation.  From a review of the patient attendances to the service during this time, it is estimated that </w:t>
      </w:r>
      <w:r w:rsidR="00DB5E2C">
        <w:t xml:space="preserve">around </w:t>
      </w:r>
      <w:r w:rsidR="00360A51">
        <w:t xml:space="preserve">280 patients had </w:t>
      </w:r>
      <w:r w:rsidR="00DB5E2C">
        <w:t xml:space="preserve">a </w:t>
      </w:r>
      <w:r w:rsidR="00360A51">
        <w:t>speculum examination during this time, meaning that a metal speculum was chosen over a plastic one only 29% of the time – see figure 1.</w:t>
      </w:r>
    </w:p>
    <w:p w14:paraId="5FDC9D11" w14:textId="77777777" w:rsidR="00360A51" w:rsidRDefault="00360A51" w:rsidP="00B919A3">
      <w:r>
        <w:rPr>
          <w:noProof/>
        </w:rPr>
        <w:lastRenderedPageBreak/>
        <w:drawing>
          <wp:inline distT="0" distB="0" distL="0" distR="0" wp14:anchorId="3AC5694A" wp14:editId="42652216">
            <wp:extent cx="4657725" cy="2876550"/>
            <wp:effectExtent l="0" t="0" r="9525" b="0"/>
            <wp:docPr id="1" name="Chart 1">
              <a:extLst xmlns:a="http://schemas.openxmlformats.org/drawingml/2006/main">
                <a:ext uri="{FF2B5EF4-FFF2-40B4-BE49-F238E27FC236}">
                  <a16:creationId xmlns:a16="http://schemas.microsoft.com/office/drawing/2014/main" id="{BCAD83E4-3DA9-4726-BF15-09DD157D7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D8289C4" w14:textId="77777777" w:rsidR="00DB5E2C" w:rsidRDefault="00DB5E2C" w:rsidP="00B919A3"/>
    <w:p w14:paraId="03EBEFF6" w14:textId="77777777" w:rsidR="00244D0C" w:rsidRDefault="00DB5E2C" w:rsidP="00B919A3">
      <w:r>
        <w:t xml:space="preserve">In order to assess the impact in clinic of the change and how to improve uptake, an </w:t>
      </w:r>
      <w:r w:rsidR="00360A51">
        <w:t>anonymous survey was sent to all clinicians undertaking speculum examinations in the department.</w:t>
      </w:r>
      <w:r w:rsidR="009F65C2">
        <w:t xml:space="preserve">  </w:t>
      </w:r>
      <w:r w:rsidR="008E3558">
        <w:t>18/</w:t>
      </w:r>
      <w:r w:rsidR="008A0FED">
        <w:t>26</w:t>
      </w:r>
      <w:r w:rsidR="00244D0C">
        <w:t xml:space="preserve"> (69%)</w:t>
      </w:r>
      <w:r w:rsidR="008E3558">
        <w:t xml:space="preserve"> clinicians in the department responded.  All</w:t>
      </w:r>
      <w:r>
        <w:t xml:space="preserve"> reported that they</w:t>
      </w:r>
      <w:r w:rsidR="008E3558">
        <w:t xml:space="preserve"> had been given enough information about why the change was being made. </w:t>
      </w:r>
      <w:r>
        <w:t>5</w:t>
      </w:r>
      <w:r w:rsidR="008E3558">
        <w:t>/18 (27%) said they had used a metal speculum most of the</w:t>
      </w:r>
      <w:r w:rsidR="00244D0C">
        <w:t xml:space="preserve"> </w:t>
      </w:r>
      <w:r w:rsidR="008E3558">
        <w:t>time since the change was implemented</w:t>
      </w:r>
      <w:r w:rsidR="00244D0C">
        <w:t xml:space="preserve">.  </w:t>
      </w:r>
      <w:proofErr w:type="gramStart"/>
      <w:r w:rsidR="00244D0C">
        <w:t>However</w:t>
      </w:r>
      <w:proofErr w:type="gramEnd"/>
      <w:r w:rsidR="00244D0C">
        <w:t xml:space="preserve"> 6/18 (33%)</w:t>
      </w:r>
      <w:r>
        <w:t xml:space="preserve"> many hadn’t tried them yet</w:t>
      </w:r>
      <w:r w:rsidR="008E3558">
        <w:t xml:space="preserve">– see figure 2. </w:t>
      </w:r>
    </w:p>
    <w:p w14:paraId="0D6155FC" w14:textId="77777777" w:rsidR="008E3558" w:rsidRDefault="008E3558" w:rsidP="00B919A3">
      <w:r>
        <w:rPr>
          <w:noProof/>
        </w:rPr>
        <w:drawing>
          <wp:inline distT="0" distB="0" distL="0" distR="0" wp14:anchorId="3CD9768A" wp14:editId="7DA57015">
            <wp:extent cx="4572000" cy="3152775"/>
            <wp:effectExtent l="0" t="0" r="0" b="9525"/>
            <wp:docPr id="3" name="Chart 3">
              <a:extLst xmlns:a="http://schemas.openxmlformats.org/drawingml/2006/main">
                <a:ext uri="{FF2B5EF4-FFF2-40B4-BE49-F238E27FC236}">
                  <a16:creationId xmlns:a16="http://schemas.microsoft.com/office/drawing/2014/main" id="{80B39355-710F-42DB-A780-CC43A6CE4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A2C5F10" w14:textId="77777777" w:rsidR="008E3558" w:rsidRDefault="008E3558" w:rsidP="00B919A3">
      <w:pPr>
        <w:rPr>
          <w:i/>
        </w:rPr>
      </w:pPr>
    </w:p>
    <w:p w14:paraId="4347E3B2" w14:textId="77777777" w:rsidR="008E3558" w:rsidRDefault="008E3558" w:rsidP="00B919A3">
      <w:r>
        <w:t>All staff who had used the metal speculums found them as easy or easier to use</w:t>
      </w:r>
      <w:r w:rsidR="00244D0C">
        <w:t xml:space="preserve"> than plastic specula</w:t>
      </w:r>
      <w:r>
        <w:t xml:space="preserve"> – see figure 3</w:t>
      </w:r>
    </w:p>
    <w:p w14:paraId="37F6F94F" w14:textId="77777777" w:rsidR="008E3558" w:rsidRDefault="008E3558" w:rsidP="00B919A3">
      <w:r>
        <w:rPr>
          <w:noProof/>
        </w:rPr>
        <w:lastRenderedPageBreak/>
        <w:drawing>
          <wp:inline distT="0" distB="0" distL="0" distR="0" wp14:anchorId="4EC9E1AB" wp14:editId="31E349B2">
            <wp:extent cx="4848225" cy="2743200"/>
            <wp:effectExtent l="0" t="0" r="9525" b="0"/>
            <wp:docPr id="4" name="Chart 4">
              <a:extLst xmlns:a="http://schemas.openxmlformats.org/drawingml/2006/main">
                <a:ext uri="{FF2B5EF4-FFF2-40B4-BE49-F238E27FC236}">
                  <a16:creationId xmlns:a16="http://schemas.microsoft.com/office/drawing/2014/main" id="{80B39355-710F-42DB-A780-CC43A6CE4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C716C8" w14:textId="77777777" w:rsidR="008E3558" w:rsidRDefault="00EA3593" w:rsidP="00B919A3">
      <w:r>
        <w:t>Making them more available in clinic rooms, and better patient information were identified most commonly as ways to encourage use of metal specul</w:t>
      </w:r>
      <w:r w:rsidR="008A5C32">
        <w:t>a</w:t>
      </w:r>
      <w:r>
        <w:t xml:space="preserve"> – see figure </w:t>
      </w:r>
      <w:r w:rsidR="00DB5E2C">
        <w:t>4</w:t>
      </w:r>
      <w:r>
        <w:t>.</w:t>
      </w:r>
    </w:p>
    <w:p w14:paraId="28C1AA49" w14:textId="77777777" w:rsidR="00637C1F" w:rsidRDefault="00EA3593" w:rsidP="00B919A3">
      <w:r>
        <w:rPr>
          <w:noProof/>
        </w:rPr>
        <w:drawing>
          <wp:inline distT="0" distB="0" distL="0" distR="0" wp14:anchorId="778EECB4" wp14:editId="411BBAB0">
            <wp:extent cx="4572000" cy="3043238"/>
            <wp:effectExtent l="0" t="0" r="0" b="5080"/>
            <wp:docPr id="7" name="Chart 7">
              <a:extLst xmlns:a="http://schemas.openxmlformats.org/drawingml/2006/main">
                <a:ext uri="{FF2B5EF4-FFF2-40B4-BE49-F238E27FC236}">
                  <a16:creationId xmlns:a16="http://schemas.microsoft.com/office/drawing/2014/main" id="{4C249BA8-6A89-4D83-9912-CB8D137A8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AE6BC4" w14:textId="77777777" w:rsidR="00637C1F" w:rsidRDefault="00637C1F" w:rsidP="00B919A3"/>
    <w:p w14:paraId="46690F5A" w14:textId="77777777" w:rsidR="00637C1F" w:rsidRPr="008E3558" w:rsidRDefault="00637C1F" w:rsidP="00B919A3">
      <w:r>
        <w:t>4/13 (31%) reported that they found patient feedback to be largely positive, and 9/13 (69%) reported it as neither positive or negative.  No clinician reported they had found patient feedback largely negative.</w:t>
      </w:r>
    </w:p>
    <w:p w14:paraId="477EBEAB" w14:textId="77777777" w:rsidR="00360A51" w:rsidRDefault="00EA3593" w:rsidP="00B919A3">
      <w:r>
        <w:t>Based on the above, I intend to look at ensuring metal speculum are available in the</w:t>
      </w:r>
      <w:r w:rsidR="00DB5E2C">
        <w:t xml:space="preserve"> examination</w:t>
      </w:r>
      <w:r>
        <w:t xml:space="preserve"> rooms most commonly used for female genital examinations, and improving </w:t>
      </w:r>
      <w:r w:rsidR="00DB5E2C">
        <w:t>availability of</w:t>
      </w:r>
      <w:r>
        <w:t xml:space="preserve"> patient information</w:t>
      </w:r>
      <w:r w:rsidR="00DB5E2C">
        <w:t>.</w:t>
      </w:r>
    </w:p>
    <w:p w14:paraId="64659131" w14:textId="77777777" w:rsidR="00B919A3" w:rsidRDefault="00B919A3" w:rsidP="00B919A3"/>
    <w:p w14:paraId="277FF44C" w14:textId="11DB1836" w:rsidR="00B919A3" w:rsidRPr="00B022D1" w:rsidRDefault="00B919A3" w:rsidP="00B919A3">
      <w:pPr>
        <w:rPr>
          <w:b/>
        </w:rPr>
      </w:pPr>
      <w:r w:rsidRPr="00B022D1">
        <w:rPr>
          <w:b/>
        </w:rPr>
        <w:t>Expected</w:t>
      </w:r>
      <w:r w:rsidR="00934E50">
        <w:rPr>
          <w:b/>
        </w:rPr>
        <w:t xml:space="preserve"> Environmental </w:t>
      </w:r>
      <w:r w:rsidRPr="00B022D1">
        <w:rPr>
          <w:b/>
        </w:rPr>
        <w:t>benefits</w:t>
      </w:r>
      <w:r w:rsidR="00934E50">
        <w:rPr>
          <w:b/>
        </w:rPr>
        <w:t>, costs and social impact</w:t>
      </w:r>
    </w:p>
    <w:p w14:paraId="72CBC5DF" w14:textId="77777777" w:rsidR="006D1A88" w:rsidRDefault="00DB5E2C" w:rsidP="00B919A3">
      <w:r>
        <w:lastRenderedPageBreak/>
        <w:t>To estimate the projected environmental impact of this project, I referred to a</w:t>
      </w:r>
      <w:r w:rsidR="006D1A88">
        <w:t xml:space="preserve"> life cycle analysis (LCA) published in 2020 which assessed the </w:t>
      </w:r>
      <w:r>
        <w:t>GHG emission</w:t>
      </w:r>
      <w:r w:rsidR="006D1A88">
        <w:t xml:space="preserve"> saving per usage of a metal instead of plastic speculum</w:t>
      </w:r>
      <w:r w:rsidR="00D44BEB" w:rsidRPr="00D44BEB">
        <w:rPr>
          <w:vertAlign w:val="superscript"/>
        </w:rPr>
        <w:t>1</w:t>
      </w:r>
      <w:r>
        <w:t>.</w:t>
      </w:r>
      <w:r w:rsidR="006D1A88">
        <w:t xml:space="preserve">  </w:t>
      </w:r>
    </w:p>
    <w:p w14:paraId="0E72FA0B" w14:textId="77777777" w:rsidR="009F65C2" w:rsidRDefault="007255ED" w:rsidP="00B919A3">
      <w:r>
        <w:t xml:space="preserve">If the </w:t>
      </w:r>
      <w:r w:rsidR="009F65C2">
        <w:t>uptake of metal specula usage in the department</w:t>
      </w:r>
      <w:r>
        <w:t xml:space="preserve"> remains the same</w:t>
      </w:r>
      <w:r w:rsidR="007415D9">
        <w:t xml:space="preserve"> </w:t>
      </w:r>
      <w:r w:rsidR="006D1A88">
        <w:t xml:space="preserve">as during the initial 5 weeks </w:t>
      </w:r>
      <w:r w:rsidR="007415D9">
        <w:t>i.e. 29% of total specula used</w:t>
      </w:r>
      <w:r w:rsidR="009F65C2">
        <w:t xml:space="preserve">, we would predict that they would be used </w:t>
      </w:r>
      <w:r>
        <w:t>approximately 900 times in total</w:t>
      </w:r>
      <w:r w:rsidR="007415D9">
        <w:t xml:space="preserve"> over one year</w:t>
      </w:r>
      <w:r>
        <w:t xml:space="preserve">, with an average of 9 uses each.  </w:t>
      </w:r>
      <w:r w:rsidR="006D1A88">
        <w:t>T</w:t>
      </w:r>
      <w:r>
        <w:t xml:space="preserve">he estimated carbon saving after 9 uses of a metal speculum is </w:t>
      </w:r>
      <w:r w:rsidR="007415D9">
        <w:t>5</w:t>
      </w:r>
      <w:r>
        <w:t xml:space="preserve">kgCo2e.  Therefore, the total carbon saving </w:t>
      </w:r>
      <w:r w:rsidR="007415D9">
        <w:t>for the 1</w:t>
      </w:r>
      <w:r w:rsidR="007415D9" w:rsidRPr="007415D9">
        <w:rPr>
          <w:vertAlign w:val="superscript"/>
        </w:rPr>
        <w:t>st</w:t>
      </w:r>
      <w:r w:rsidR="007415D9">
        <w:t xml:space="preserve"> year</w:t>
      </w:r>
      <w:r>
        <w:t xml:space="preserve"> for</w:t>
      </w:r>
      <w:r w:rsidR="006D1A88">
        <w:t xml:space="preserve"> this initiative</w:t>
      </w:r>
      <w:r>
        <w:t xml:space="preserve"> would be </w:t>
      </w:r>
      <w:r w:rsidR="007415D9">
        <w:t>5</w:t>
      </w:r>
      <w:r>
        <w:t>00kg CO2e</w:t>
      </w:r>
      <w:r w:rsidR="007415D9">
        <w:t>.</w:t>
      </w:r>
    </w:p>
    <w:p w14:paraId="6BEF3F8D" w14:textId="77777777" w:rsidR="007255ED" w:rsidRDefault="007415D9" w:rsidP="00B919A3">
      <w:r>
        <w:t>However, if we can increase up</w:t>
      </w:r>
      <w:r w:rsidR="006D1A88">
        <w:t>take</w:t>
      </w:r>
      <w:r>
        <w:t xml:space="preserve"> of metal specula usage in the department to 80%, we would predict that they would be used approximately 2500 times in total over one year, with an average of 25</w:t>
      </w:r>
      <w:r w:rsidR="006D1A88">
        <w:t xml:space="preserve"> uses each.  T</w:t>
      </w:r>
      <w:r>
        <w:t>he estimated carbon saving after 25 uses of a metal speculum is 18kg Co2e.</w:t>
      </w:r>
      <w:r w:rsidR="00EC4782">
        <w:t xml:space="preserve">  Therefore, the total carbon saving for the 1</w:t>
      </w:r>
      <w:r w:rsidR="00EC4782" w:rsidRPr="00EC4782">
        <w:rPr>
          <w:vertAlign w:val="superscript"/>
        </w:rPr>
        <w:t>st</w:t>
      </w:r>
      <w:r w:rsidR="00EC4782">
        <w:t xml:space="preserve"> year </w:t>
      </w:r>
      <w:r w:rsidR="006D1A88">
        <w:t>for this initiative</w:t>
      </w:r>
      <w:r w:rsidR="00EC4782">
        <w:t xml:space="preserve"> would be 1800kg CO2e.</w:t>
      </w:r>
    </w:p>
    <w:p w14:paraId="5465EFF8" w14:textId="77777777" w:rsidR="00EC4782" w:rsidRDefault="006D1A88" w:rsidP="00B919A3">
      <w:r>
        <w:t>Carbon savings would continue to increase year on year, and with increasing usage.</w:t>
      </w:r>
    </w:p>
    <w:p w14:paraId="65B3DEB9" w14:textId="77777777" w:rsidR="00BD725E" w:rsidRDefault="00BD725E" w:rsidP="006D1A88">
      <w:r>
        <w:t>As well as decreasing the carbon footprint of the service, this change will also generate a decrease in clinical waste.</w:t>
      </w:r>
    </w:p>
    <w:p w14:paraId="4074530C" w14:textId="77777777" w:rsidR="00244D0C" w:rsidRDefault="00244D0C" w:rsidP="00244D0C">
      <w:r>
        <w:t>The initial survey undertaken of clinicians after 5 weeks of use shows that clinical utility and patient satisfaction is equal or improved from this change in practice and that an increase in usage should be possible.</w:t>
      </w:r>
    </w:p>
    <w:p w14:paraId="49A2C628" w14:textId="77777777" w:rsidR="006D1A88" w:rsidRDefault="00DB5E2C" w:rsidP="006D1A88">
      <w:r>
        <w:t>With regards to financial cost, t</w:t>
      </w:r>
      <w:r w:rsidR="006D1A88">
        <w:t>he cost of a plastic speculum is approximately £1 per unit</w:t>
      </w:r>
      <w:r w:rsidR="00244D0C">
        <w:t>.  T</w:t>
      </w:r>
      <w:r w:rsidR="006D1A88">
        <w:t>he cost of sterilisation of a metal speculum</w:t>
      </w:r>
      <w:r w:rsidR="00244D0C">
        <w:t xml:space="preserve"> has been given as</w:t>
      </w:r>
      <w:r w:rsidR="006D1A88">
        <w:t xml:space="preserve"> approximately £1 per item</w:t>
      </w:r>
      <w:r w:rsidR="00244D0C">
        <w:t xml:space="preserve"> by HSDU – however, this cost will not be felt directly by the department as is covered by our SLA</w:t>
      </w:r>
      <w:r w:rsidR="006D1A88">
        <w:t xml:space="preserve">.  Therefore, this initiative is likely to be cost </w:t>
      </w:r>
      <w:r w:rsidR="00244D0C">
        <w:t xml:space="preserve">saving for the department but cost </w:t>
      </w:r>
      <w:r w:rsidR="006D1A88">
        <w:t>neutral</w:t>
      </w:r>
      <w:r w:rsidR="00244D0C">
        <w:t xml:space="preserve"> for the organisation</w:t>
      </w:r>
      <w:r w:rsidR="006D1A88">
        <w:t xml:space="preserve"> after the upfront cost of purchasing the specula.</w:t>
      </w:r>
    </w:p>
    <w:p w14:paraId="0498BB5C" w14:textId="77777777" w:rsidR="00B919A3" w:rsidRDefault="00B919A3" w:rsidP="00B919A3"/>
    <w:p w14:paraId="75BEE61F" w14:textId="77777777" w:rsidR="00934E50" w:rsidRPr="00A26CAF" w:rsidRDefault="00934E50" w:rsidP="00934E50">
      <w:pPr>
        <w:pStyle w:val="Heading2"/>
        <w:rPr>
          <w:lang w:eastAsia="en-GB"/>
        </w:rPr>
      </w:pPr>
      <w:r w:rsidRPr="00A26CAF">
        <w:rPr>
          <w:lang w:eastAsia="en-GB"/>
        </w:rPr>
        <w:t xml:space="preserve">Next steps </w:t>
      </w:r>
    </w:p>
    <w:p w14:paraId="1FC222D4" w14:textId="77777777" w:rsidR="00934E50" w:rsidRDefault="00934E50" w:rsidP="00B919A3"/>
    <w:p w14:paraId="72586F31" w14:textId="77777777" w:rsidR="00B919A3" w:rsidRPr="00B022D1" w:rsidRDefault="00B919A3" w:rsidP="00B919A3">
      <w:pPr>
        <w:rPr>
          <w:b/>
        </w:rPr>
      </w:pPr>
      <w:r w:rsidRPr="00B022D1">
        <w:rPr>
          <w:b/>
        </w:rPr>
        <w:t>Scalability</w:t>
      </w:r>
    </w:p>
    <w:p w14:paraId="45AEA289" w14:textId="77777777" w:rsidR="00B022D1" w:rsidRDefault="00BD725E" w:rsidP="00B919A3">
      <w:r>
        <w:t>I</w:t>
      </w:r>
      <w:r w:rsidR="00B022D1">
        <w:t xml:space="preserve"> plan to continue to run PDSA cycles to maximise the usage of metal specula, and consequently the </w:t>
      </w:r>
      <w:r>
        <w:t>carbon</w:t>
      </w:r>
      <w:r w:rsidR="00B022D1">
        <w:t xml:space="preserve"> saving in </w:t>
      </w:r>
      <w:proofErr w:type="spellStart"/>
      <w:r w:rsidR="00B022D1">
        <w:t>DoSH</w:t>
      </w:r>
      <w:proofErr w:type="spellEnd"/>
      <w:r w:rsidR="00B022D1">
        <w:t>.</w:t>
      </w:r>
    </w:p>
    <w:p w14:paraId="579E45CC" w14:textId="77777777" w:rsidR="00B022D1" w:rsidRDefault="00B022D1" w:rsidP="00B919A3">
      <w:r>
        <w:t>I have presented this project to colleagues working in sexual health in other areas of Wales and it has generated an interest in taking forward a similar initiative.</w:t>
      </w:r>
    </w:p>
    <w:p w14:paraId="6DE88FC1" w14:textId="77777777" w:rsidR="00B022D1" w:rsidRDefault="00B022D1" w:rsidP="00B919A3">
      <w:r>
        <w:t>My understanding is that single-use plastic specula are frequently used in other areas of the UHB, such as obstetrics and gynaecology and this change could potentially be scaled up to other areas.</w:t>
      </w:r>
    </w:p>
    <w:p w14:paraId="0DDFC77E" w14:textId="77777777" w:rsidR="00B919A3" w:rsidRDefault="00B919A3" w:rsidP="00B919A3"/>
    <w:p w14:paraId="7C289324" w14:textId="77777777" w:rsidR="00934E50" w:rsidRDefault="00934E50" w:rsidP="00934E50">
      <w:pPr>
        <w:pStyle w:val="Heading2"/>
        <w:rPr>
          <w:rFonts w:eastAsia="MS Mincho"/>
          <w:lang w:eastAsia="en-GB"/>
        </w:rPr>
      </w:pPr>
      <w:r w:rsidRPr="00A26CAF">
        <w:rPr>
          <w:rFonts w:eastAsia="MS Mincho"/>
          <w:lang w:eastAsia="en-GB"/>
        </w:rPr>
        <w:t xml:space="preserve">Resources and references </w:t>
      </w:r>
    </w:p>
    <w:p w14:paraId="7B539A9C" w14:textId="77777777" w:rsidR="00934E50" w:rsidRPr="00934E50" w:rsidRDefault="00934E50" w:rsidP="00934E50">
      <w:pPr>
        <w:rPr>
          <w:lang w:eastAsia="en-GB"/>
        </w:rPr>
      </w:pPr>
    </w:p>
    <w:p w14:paraId="3974071D" w14:textId="77777777" w:rsidR="00B919A3" w:rsidRDefault="00D44BEB" w:rsidP="00D44BEB">
      <w:pPr>
        <w:pStyle w:val="ListParagraph"/>
        <w:numPr>
          <w:ilvl w:val="0"/>
          <w:numId w:val="1"/>
        </w:numPr>
      </w:pPr>
      <w:r w:rsidRPr="008357AE">
        <w:t>Donahue et al.</w:t>
      </w:r>
      <w:r>
        <w:t xml:space="preserve"> </w:t>
      </w:r>
      <w:r w:rsidRPr="00D44BEB">
        <w:rPr>
          <w:rFonts w:eastAsia="Times New Roman"/>
          <w:kern w:val="36"/>
          <w:lang w:eastAsia="en-GB"/>
        </w:rPr>
        <w:t xml:space="preserve"> A comparative carbon footprint analysis of disposable and reusable vaginal specula. </w:t>
      </w:r>
      <w:r w:rsidRPr="00D44BEB">
        <w:rPr>
          <w:shd w:val="clear" w:color="auto" w:fill="FFFFFF"/>
        </w:rPr>
        <w:t xml:space="preserve">American Journal of Obstetrics and </w:t>
      </w:r>
      <w:proofErr w:type="spellStart"/>
      <w:r w:rsidRPr="00D44BEB">
        <w:rPr>
          <w:shd w:val="clear" w:color="auto" w:fill="FFFFFF"/>
        </w:rPr>
        <w:t>Gynecology</w:t>
      </w:r>
      <w:proofErr w:type="spellEnd"/>
      <w:r w:rsidRPr="00D44BEB">
        <w:rPr>
          <w:shd w:val="clear" w:color="auto" w:fill="FFFFFF"/>
        </w:rPr>
        <w:t>, 2020 08 01, Volume 223, Issue 2, Pages 225.e1-225.e7</w:t>
      </w:r>
    </w:p>
    <w:p w14:paraId="27CA516A" w14:textId="77777777" w:rsidR="00934E50" w:rsidRPr="00E6610C" w:rsidRDefault="00934E50" w:rsidP="00934E50">
      <w:pPr>
        <w:pStyle w:val="Heading2"/>
        <w:rPr>
          <w:rFonts w:eastAsia="MS Mincho"/>
          <w:lang w:eastAsia="en-GB"/>
        </w:rPr>
      </w:pPr>
      <w:r w:rsidRPr="00A26CAF">
        <w:rPr>
          <w:rFonts w:eastAsia="MS Mincho"/>
          <w:lang w:eastAsia="en-GB"/>
        </w:rPr>
        <w:lastRenderedPageBreak/>
        <w:t>Want to know more?</w:t>
      </w:r>
    </w:p>
    <w:p w14:paraId="17A20EFA" w14:textId="77777777" w:rsidR="00934E50" w:rsidRPr="00953729" w:rsidRDefault="00934E50" w:rsidP="00934E50">
      <w:pPr>
        <w:spacing w:after="0" w:line="276" w:lineRule="auto"/>
        <w:rPr>
          <w:rFonts w:asciiTheme="majorHAnsi" w:hAnsiTheme="majorHAnsi" w:cstheme="majorHAnsi"/>
          <w:sz w:val="6"/>
          <w:szCs w:val="6"/>
          <w:lang w:eastAsia="en-GB"/>
        </w:rPr>
      </w:pPr>
    </w:p>
    <w:p w14:paraId="3F253A87" w14:textId="77777777" w:rsidR="00934E50" w:rsidRPr="00E00755" w:rsidRDefault="00934E50" w:rsidP="00934E50">
      <w:pPr>
        <w:spacing w:after="0" w:line="276" w:lineRule="auto"/>
        <w:ind w:left="360"/>
        <w:rPr>
          <w:rFonts w:asciiTheme="majorHAnsi" w:hAnsiTheme="majorHAnsi" w:cstheme="majorHAnsi"/>
          <w:lang w:eastAsia="en-GB"/>
        </w:rPr>
      </w:pPr>
      <w:r w:rsidRPr="00E00755">
        <w:rPr>
          <w:rFonts w:asciiTheme="majorHAnsi" w:hAnsiTheme="majorHAnsi" w:cstheme="majorHAnsi"/>
          <w:lang w:eastAsia="en-GB"/>
        </w:rPr>
        <w:t xml:space="preserve">Contact 1: </w:t>
      </w:r>
    </w:p>
    <w:p w14:paraId="12431F3E" w14:textId="6FA0FFDA" w:rsidR="00934E50" w:rsidRPr="00E00755" w:rsidRDefault="00934E50" w:rsidP="00934E50">
      <w:pPr>
        <w:pStyle w:val="ListParagraph"/>
        <w:numPr>
          <w:ilvl w:val="0"/>
          <w:numId w:val="4"/>
        </w:numPr>
        <w:spacing w:after="0" w:line="276" w:lineRule="auto"/>
        <w:ind w:left="1080"/>
        <w:contextualSpacing w:val="0"/>
        <w:rPr>
          <w:rFonts w:asciiTheme="majorHAnsi" w:eastAsia="ヒラギノ角ゴ Pro W3" w:hAnsiTheme="majorHAnsi" w:cstheme="majorHAnsi"/>
          <w:color w:val="000000"/>
          <w:lang w:val="en-US"/>
        </w:rPr>
      </w:pPr>
      <w:r w:rsidRPr="00E00755">
        <w:rPr>
          <w:rFonts w:asciiTheme="majorHAnsi" w:hAnsiTheme="majorHAnsi" w:cstheme="majorHAnsi"/>
          <w:lang w:eastAsia="en-GB"/>
        </w:rPr>
        <w:t>Name:</w:t>
      </w:r>
      <w:r w:rsidRPr="00E00755">
        <w:rPr>
          <w:rFonts w:asciiTheme="majorHAnsi" w:eastAsiaTheme="majorEastAsia" w:hAnsiTheme="majorHAnsi" w:cstheme="majorHAnsi"/>
          <w:b/>
          <w:bCs/>
          <w:color w:val="005EB8"/>
          <w:lang w:val="en-US"/>
        </w:rPr>
        <w:t xml:space="preserve"> </w:t>
      </w:r>
      <w:r>
        <w:t xml:space="preserve">Dr Rachel Drayton, </w:t>
      </w:r>
    </w:p>
    <w:p w14:paraId="34124AF7" w14:textId="0E843A3F" w:rsidR="00934E50" w:rsidRPr="00E00755" w:rsidRDefault="00934E50" w:rsidP="00934E50">
      <w:pPr>
        <w:pStyle w:val="ListParagraph"/>
        <w:numPr>
          <w:ilvl w:val="0"/>
          <w:numId w:val="4"/>
        </w:numPr>
        <w:spacing w:after="0" w:line="276" w:lineRule="auto"/>
        <w:ind w:left="1080"/>
        <w:contextualSpacing w:val="0"/>
        <w:rPr>
          <w:rFonts w:asciiTheme="majorHAnsi" w:eastAsia="ヒラギノ角ゴ Pro W3" w:hAnsiTheme="majorHAnsi" w:cstheme="majorHAnsi"/>
          <w:color w:val="000000"/>
          <w:lang w:val="en-US"/>
        </w:rPr>
      </w:pPr>
      <w:r w:rsidRPr="00E00755">
        <w:rPr>
          <w:rFonts w:asciiTheme="majorHAnsi" w:hAnsiTheme="majorHAnsi" w:cstheme="majorHAnsi"/>
          <w:lang w:eastAsia="en-GB"/>
        </w:rPr>
        <w:t>Role:</w:t>
      </w:r>
      <w:r w:rsidRPr="00E00755">
        <w:rPr>
          <w:rFonts w:asciiTheme="majorHAnsi" w:eastAsiaTheme="majorEastAsia" w:hAnsiTheme="majorHAnsi" w:cstheme="majorHAnsi"/>
          <w:b/>
          <w:bCs/>
          <w:color w:val="005EB8"/>
          <w:lang w:val="en-US"/>
        </w:rPr>
        <w:t xml:space="preserve"> </w:t>
      </w:r>
      <w:r>
        <w:t>Clinical Director</w:t>
      </w:r>
    </w:p>
    <w:p w14:paraId="3CD2BD79" w14:textId="3B05A8D0" w:rsidR="00934E50" w:rsidRPr="00E00755" w:rsidRDefault="00934E50" w:rsidP="00934E50">
      <w:pPr>
        <w:pStyle w:val="ListParagraph"/>
        <w:numPr>
          <w:ilvl w:val="0"/>
          <w:numId w:val="4"/>
        </w:numPr>
        <w:spacing w:after="0" w:line="276" w:lineRule="auto"/>
        <w:ind w:left="1080"/>
        <w:contextualSpacing w:val="0"/>
        <w:rPr>
          <w:rFonts w:asciiTheme="majorHAnsi" w:eastAsia="ヒラギノ角ゴ Pro W3" w:hAnsiTheme="majorHAnsi" w:cstheme="majorHAnsi"/>
          <w:color w:val="000000"/>
          <w:lang w:val="en-US"/>
        </w:rPr>
      </w:pPr>
      <w:r w:rsidRPr="00E00755">
        <w:rPr>
          <w:rFonts w:asciiTheme="majorHAnsi" w:hAnsiTheme="majorHAnsi" w:cstheme="majorHAnsi"/>
          <w:lang w:eastAsia="en-GB"/>
        </w:rPr>
        <w:t>Email:</w:t>
      </w:r>
      <w:r w:rsidRPr="00E00755">
        <w:rPr>
          <w:rFonts w:asciiTheme="majorHAnsi" w:eastAsiaTheme="majorEastAsia" w:hAnsiTheme="majorHAnsi" w:cstheme="majorHAnsi"/>
          <w:b/>
          <w:bCs/>
          <w:color w:val="005EB8"/>
          <w:lang w:val="en-US"/>
        </w:rPr>
        <w:t xml:space="preserve"> </w:t>
      </w:r>
      <w:r w:rsidR="00FA2AA8" w:rsidRPr="00FA2AA8">
        <w:rPr>
          <w:rFonts w:asciiTheme="majorHAnsi" w:eastAsiaTheme="majorEastAsia" w:hAnsiTheme="majorHAnsi" w:cstheme="majorHAnsi"/>
          <w:color w:val="000000" w:themeColor="text1"/>
          <w:lang w:val="en-US"/>
        </w:rPr>
        <w:t>rachel.drayton@wales.nhs.uk</w:t>
      </w:r>
    </w:p>
    <w:p w14:paraId="7BBB9954" w14:textId="1DD16FD2" w:rsidR="00934E50" w:rsidRPr="00E00755" w:rsidRDefault="00934E50" w:rsidP="00934E50">
      <w:pPr>
        <w:pStyle w:val="ListParagraph"/>
        <w:numPr>
          <w:ilvl w:val="0"/>
          <w:numId w:val="4"/>
        </w:numPr>
        <w:spacing w:after="0" w:line="276" w:lineRule="auto"/>
        <w:ind w:left="1080"/>
        <w:contextualSpacing w:val="0"/>
        <w:rPr>
          <w:rFonts w:asciiTheme="majorHAnsi" w:eastAsia="ヒラギノ角ゴ Pro W3" w:hAnsiTheme="majorHAnsi" w:cstheme="majorHAnsi"/>
          <w:color w:val="000000"/>
          <w:lang w:val="en-US"/>
        </w:rPr>
      </w:pPr>
      <w:r w:rsidRPr="00E00755">
        <w:rPr>
          <w:rFonts w:asciiTheme="majorHAnsi" w:hAnsiTheme="majorHAnsi" w:cstheme="majorHAnsi"/>
          <w:lang w:eastAsia="en-GB"/>
        </w:rPr>
        <w:t>Location &amp; NHS Region if within the UK:</w:t>
      </w:r>
      <w:r w:rsidRPr="00E00755">
        <w:rPr>
          <w:rFonts w:asciiTheme="majorHAnsi" w:eastAsiaTheme="majorEastAsia" w:hAnsiTheme="majorHAnsi" w:cstheme="majorHAnsi"/>
          <w:b/>
          <w:bCs/>
          <w:color w:val="005EB8"/>
          <w:lang w:val="en-US"/>
        </w:rPr>
        <w:t xml:space="preserve"> </w:t>
      </w:r>
      <w:r>
        <w:rPr>
          <w:rFonts w:asciiTheme="majorHAnsi" w:eastAsia="ヒラギノ角ゴ Pro W3" w:hAnsiTheme="majorHAnsi" w:cstheme="majorHAnsi"/>
          <w:color w:val="000000"/>
          <w:lang w:val="en-US"/>
        </w:rPr>
        <w:t xml:space="preserve">Wales, Cardiff </w:t>
      </w:r>
    </w:p>
    <w:p w14:paraId="66F62B91" w14:textId="2A308E92" w:rsidR="00934E50" w:rsidRPr="00E00755" w:rsidRDefault="00934E50" w:rsidP="00934E50">
      <w:pPr>
        <w:pStyle w:val="ListParagraph"/>
        <w:numPr>
          <w:ilvl w:val="0"/>
          <w:numId w:val="4"/>
        </w:numPr>
        <w:spacing w:after="0" w:line="276" w:lineRule="auto"/>
        <w:ind w:left="1080"/>
        <w:contextualSpacing w:val="0"/>
        <w:rPr>
          <w:rFonts w:asciiTheme="majorHAnsi" w:eastAsia="ヒラギノ角ゴ Pro W3" w:hAnsiTheme="majorHAnsi" w:cstheme="majorHAnsi"/>
          <w:color w:val="000000"/>
          <w:lang w:val="en-US"/>
        </w:rPr>
      </w:pPr>
      <w:r w:rsidRPr="00E00755">
        <w:rPr>
          <w:rFonts w:asciiTheme="majorHAnsi" w:hAnsiTheme="majorHAnsi" w:cstheme="majorHAnsi"/>
        </w:rPr>
        <w:t xml:space="preserve">Partner organisations involved: </w:t>
      </w:r>
      <w:r w:rsidR="00651F26" w:rsidRPr="00651F26">
        <w:rPr>
          <w:rFonts w:asciiTheme="majorHAnsi" w:hAnsiTheme="majorHAnsi" w:cstheme="majorHAnsi"/>
        </w:rPr>
        <w:t>Welsh Government Health and Social Care Climate Emergency National Programme f</w:t>
      </w:r>
      <w:r w:rsidR="00651F26">
        <w:rPr>
          <w:rFonts w:asciiTheme="majorHAnsi" w:hAnsiTheme="majorHAnsi" w:cstheme="majorHAnsi"/>
        </w:rPr>
        <w:t xml:space="preserve">und provided the money for the new </w:t>
      </w:r>
      <w:proofErr w:type="gramStart"/>
      <w:r w:rsidR="00651F26">
        <w:rPr>
          <w:rFonts w:asciiTheme="majorHAnsi" w:hAnsiTheme="majorHAnsi" w:cstheme="majorHAnsi"/>
        </w:rPr>
        <w:t>specula</w:t>
      </w:r>
      <w:proofErr w:type="gramEnd"/>
    </w:p>
    <w:p w14:paraId="3341A998" w14:textId="5FD857E6" w:rsidR="00D44BEB" w:rsidRDefault="00934E50" w:rsidP="00934E50">
      <w:pPr>
        <w:pStyle w:val="ListParagraph"/>
        <w:numPr>
          <w:ilvl w:val="0"/>
          <w:numId w:val="4"/>
        </w:numPr>
        <w:spacing w:after="0" w:line="276" w:lineRule="auto"/>
        <w:ind w:left="1080"/>
        <w:contextualSpacing w:val="0"/>
      </w:pPr>
      <w:r w:rsidRPr="00934E50">
        <w:rPr>
          <w:rFonts w:asciiTheme="majorHAnsi" w:hAnsiTheme="majorHAnsi" w:cstheme="majorHAnsi"/>
          <w:lang w:eastAsia="en-GB"/>
        </w:rPr>
        <w:t>Has this project or story been made public in any form befor</w:t>
      </w:r>
      <w:r w:rsidRPr="00934E50">
        <w:rPr>
          <w:rFonts w:asciiTheme="majorHAnsi" w:hAnsiTheme="majorHAnsi" w:cstheme="majorHAnsi"/>
        </w:rPr>
        <w:t>e?</w:t>
      </w:r>
      <w:r w:rsidRPr="00934E50">
        <w:rPr>
          <w:rFonts w:asciiTheme="majorHAnsi" w:eastAsiaTheme="majorEastAsia" w:hAnsiTheme="majorHAnsi" w:cstheme="majorHAnsi"/>
          <w:i/>
          <w:iCs/>
          <w:color w:val="005EB8"/>
          <w:lang w:val="en-US"/>
        </w:rPr>
        <w:t xml:space="preserve"> </w:t>
      </w:r>
      <w:r w:rsidRPr="00934E50">
        <w:rPr>
          <w:rFonts w:asciiTheme="majorHAnsi" w:eastAsiaTheme="majorEastAsia" w:hAnsiTheme="majorHAnsi" w:cstheme="majorHAnsi"/>
          <w:lang w:val="en-US"/>
        </w:rPr>
        <w:t xml:space="preserve">No </w:t>
      </w:r>
    </w:p>
    <w:p w14:paraId="7913FFB0" w14:textId="77777777" w:rsidR="00D44BEB" w:rsidRDefault="00D44BEB"/>
    <w:p w14:paraId="58E0416D" w14:textId="2CF0502A" w:rsidR="00934E50" w:rsidRDefault="00D44BEB" w:rsidP="00934E50">
      <w:r>
        <w:br w:type="page"/>
      </w:r>
      <w:r w:rsidR="00934E50">
        <w:lastRenderedPageBreak/>
        <w:t xml:space="preserve"> </w:t>
      </w:r>
    </w:p>
    <w:p w14:paraId="0F44EA1E" w14:textId="2E3AD92D" w:rsidR="00D44BEB" w:rsidRDefault="00D44BEB"/>
    <w:p w14:paraId="61D63905" w14:textId="77777777" w:rsidR="00D44BEB" w:rsidRPr="00BD725E" w:rsidRDefault="00D44BEB">
      <w:pPr>
        <w:rPr>
          <w:sz w:val="28"/>
          <w:szCs w:val="28"/>
        </w:rPr>
      </w:pPr>
      <w:r w:rsidRPr="00BD725E">
        <w:rPr>
          <w:b/>
          <w:sz w:val="28"/>
          <w:szCs w:val="28"/>
        </w:rPr>
        <w:t>Appendix 1</w:t>
      </w:r>
      <w:r w:rsidRPr="00BD725E">
        <w:rPr>
          <w:sz w:val="28"/>
          <w:szCs w:val="28"/>
        </w:rPr>
        <w:t xml:space="preserve"> – Patient information poster</w:t>
      </w:r>
    </w:p>
    <w:p w14:paraId="72565087" w14:textId="77777777" w:rsidR="00D44BEB" w:rsidRDefault="00D44BEB"/>
    <w:p w14:paraId="745C3178" w14:textId="77777777" w:rsidR="00D44BEB" w:rsidRDefault="00D44BEB">
      <w:r>
        <w:rPr>
          <w:noProof/>
        </w:rPr>
        <w:drawing>
          <wp:inline distT="0" distB="0" distL="0" distR="0" wp14:anchorId="5FD5D12B" wp14:editId="28C659A8">
            <wp:extent cx="5731510" cy="33077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307715"/>
                    </a:xfrm>
                    <a:prstGeom prst="rect">
                      <a:avLst/>
                    </a:prstGeom>
                  </pic:spPr>
                </pic:pic>
              </a:graphicData>
            </a:graphic>
          </wp:inline>
        </w:drawing>
      </w:r>
    </w:p>
    <w:p w14:paraId="0FE2AE20" w14:textId="77777777" w:rsidR="00D44BEB" w:rsidRDefault="00D44BEB"/>
    <w:p w14:paraId="063EB9E6" w14:textId="77777777" w:rsidR="00D44BEB" w:rsidRDefault="00D44BEB"/>
    <w:p w14:paraId="2F6E6FD7" w14:textId="77777777" w:rsidR="00D44BEB" w:rsidRDefault="00D44BEB"/>
    <w:sectPr w:rsidR="00D44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021EB"/>
    <w:multiLevelType w:val="hybridMultilevel"/>
    <w:tmpl w:val="0B6A5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07427"/>
    <w:multiLevelType w:val="hybridMultilevel"/>
    <w:tmpl w:val="D3363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B6772C"/>
    <w:multiLevelType w:val="hybridMultilevel"/>
    <w:tmpl w:val="D5FA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F4210"/>
    <w:multiLevelType w:val="hybridMultilevel"/>
    <w:tmpl w:val="2C2E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382105">
    <w:abstractNumId w:val="1"/>
  </w:num>
  <w:num w:numId="2" w16cid:durableId="1743675944">
    <w:abstractNumId w:val="0"/>
  </w:num>
  <w:num w:numId="3" w16cid:durableId="1030642126">
    <w:abstractNumId w:val="3"/>
  </w:num>
  <w:num w:numId="4" w16cid:durableId="101426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A3"/>
    <w:rsid w:val="000E4673"/>
    <w:rsid w:val="001B3276"/>
    <w:rsid w:val="002043DB"/>
    <w:rsid w:val="00244D0C"/>
    <w:rsid w:val="00360A51"/>
    <w:rsid w:val="003C4D76"/>
    <w:rsid w:val="00637C1F"/>
    <w:rsid w:val="00651F26"/>
    <w:rsid w:val="006D1A88"/>
    <w:rsid w:val="007255ED"/>
    <w:rsid w:val="007415D9"/>
    <w:rsid w:val="007F2BC0"/>
    <w:rsid w:val="008A0FED"/>
    <w:rsid w:val="008A5C32"/>
    <w:rsid w:val="008C7126"/>
    <w:rsid w:val="008E3558"/>
    <w:rsid w:val="00934E50"/>
    <w:rsid w:val="009F65C2"/>
    <w:rsid w:val="00AF7044"/>
    <w:rsid w:val="00B022D1"/>
    <w:rsid w:val="00B919A3"/>
    <w:rsid w:val="00BD44C8"/>
    <w:rsid w:val="00BD725E"/>
    <w:rsid w:val="00CB5507"/>
    <w:rsid w:val="00D44BEB"/>
    <w:rsid w:val="00D50B33"/>
    <w:rsid w:val="00DB5E2C"/>
    <w:rsid w:val="00DC545D"/>
    <w:rsid w:val="00EA3593"/>
    <w:rsid w:val="00EC4782"/>
    <w:rsid w:val="00F419F8"/>
    <w:rsid w:val="00FA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BDA1"/>
  <w15:chartTrackingRefBased/>
  <w15:docId w15:val="{4A281E75-DA08-41E9-9181-802BC25B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4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D44BEB"/>
    <w:pPr>
      <w:ind w:left="720"/>
      <w:contextualSpacing/>
    </w:pPr>
  </w:style>
  <w:style w:type="paragraph" w:styleId="NormalWeb">
    <w:name w:val="Normal (Web)"/>
    <w:basedOn w:val="Normal"/>
    <w:uiPriority w:val="99"/>
    <w:semiHidden/>
    <w:unhideWhenUsed/>
    <w:rsid w:val="00D44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4BEB"/>
    <w:rPr>
      <w:color w:val="0000FF"/>
      <w:u w:val="single"/>
    </w:rPr>
  </w:style>
  <w:style w:type="character" w:styleId="Emphasis">
    <w:name w:val="Emphasis"/>
    <w:basedOn w:val="DefaultParagraphFont"/>
    <w:uiPriority w:val="20"/>
    <w:qFormat/>
    <w:rsid w:val="00D44BEB"/>
    <w:rPr>
      <w:i/>
      <w:iCs/>
    </w:rPr>
  </w:style>
  <w:style w:type="paragraph" w:customStyle="1" w:styleId="Headinglevelthree">
    <w:name w:val="Heading level three"/>
    <w:basedOn w:val="Normal"/>
    <w:qFormat/>
    <w:rsid w:val="00934E50"/>
    <w:pPr>
      <w:spacing w:after="120" w:line="276" w:lineRule="auto"/>
    </w:pPr>
    <w:rPr>
      <w:rFonts w:ascii="Calibri Light" w:eastAsia="MS Mincho" w:hAnsi="Calibri Light" w:cs="Calibri"/>
      <w:color w:val="13B0C6"/>
      <w:sz w:val="24"/>
      <w:szCs w:val="24"/>
      <w:lang w:val="en" w:eastAsia="en-GB"/>
    </w:rPr>
  </w:style>
  <w:style w:type="table" w:styleId="TableGrid">
    <w:name w:val="Table Grid"/>
    <w:basedOn w:val="TableNormal"/>
    <w:uiPriority w:val="59"/>
    <w:rsid w:val="00934E50"/>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4E5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34E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E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4E50"/>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934E50"/>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93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1 - Proportion of metal vs plastic specula</a:t>
            </a:r>
            <a:r>
              <a:rPr lang="en-GB" baseline="0"/>
              <a:t> used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Sheet1!$L$4</c:f>
              <c:strCache>
                <c:ptCount val="1"/>
                <c:pt idx="0">
                  <c:v>Metal specula used</c:v>
                </c:pt>
              </c:strCache>
            </c:strRef>
          </c:tx>
          <c:spPr>
            <a:solidFill>
              <a:schemeClr val="accent1"/>
            </a:solidFill>
            <a:ln>
              <a:noFill/>
            </a:ln>
            <a:effectLst/>
          </c:spPr>
          <c:invertIfNegative val="0"/>
          <c:cat>
            <c:strRef>
              <c:f>Sheet1!$K$5:$K$10</c:f>
              <c:strCache>
                <c:ptCount val="6"/>
                <c:pt idx="0">
                  <c:v>20th March </c:v>
                </c:pt>
                <c:pt idx="1">
                  <c:v>27th March</c:v>
                </c:pt>
                <c:pt idx="2">
                  <c:v>3rd April </c:v>
                </c:pt>
                <c:pt idx="3">
                  <c:v>10th April</c:v>
                </c:pt>
                <c:pt idx="4">
                  <c:v>17th April</c:v>
                </c:pt>
                <c:pt idx="5">
                  <c:v>Total</c:v>
                </c:pt>
              </c:strCache>
            </c:strRef>
          </c:cat>
          <c:val>
            <c:numRef>
              <c:f>Sheet1!$L$5:$L$10</c:f>
              <c:numCache>
                <c:formatCode>General</c:formatCode>
                <c:ptCount val="6"/>
                <c:pt idx="0">
                  <c:v>16</c:v>
                </c:pt>
                <c:pt idx="1">
                  <c:v>23</c:v>
                </c:pt>
                <c:pt idx="2">
                  <c:v>17</c:v>
                </c:pt>
                <c:pt idx="3">
                  <c:v>9</c:v>
                </c:pt>
                <c:pt idx="4">
                  <c:v>15</c:v>
                </c:pt>
                <c:pt idx="5">
                  <c:v>80</c:v>
                </c:pt>
              </c:numCache>
            </c:numRef>
          </c:val>
          <c:extLst>
            <c:ext xmlns:c16="http://schemas.microsoft.com/office/drawing/2014/chart" uri="{C3380CC4-5D6E-409C-BE32-E72D297353CC}">
              <c16:uniqueId val="{00000000-5BBD-419C-9F6B-DC131F8DC179}"/>
            </c:ext>
          </c:extLst>
        </c:ser>
        <c:ser>
          <c:idx val="1"/>
          <c:order val="1"/>
          <c:tx>
            <c:strRef>
              <c:f>Sheet1!$M$4</c:f>
              <c:strCache>
                <c:ptCount val="1"/>
                <c:pt idx="0">
                  <c:v>Estimated total number of plastic specula used</c:v>
                </c:pt>
              </c:strCache>
            </c:strRef>
          </c:tx>
          <c:spPr>
            <a:solidFill>
              <a:schemeClr val="accent2"/>
            </a:solidFill>
            <a:ln>
              <a:noFill/>
            </a:ln>
            <a:effectLst/>
          </c:spPr>
          <c:invertIfNegative val="0"/>
          <c:cat>
            <c:strRef>
              <c:f>Sheet1!$K$5:$K$10</c:f>
              <c:strCache>
                <c:ptCount val="6"/>
                <c:pt idx="0">
                  <c:v>20th March </c:v>
                </c:pt>
                <c:pt idx="1">
                  <c:v>27th March</c:v>
                </c:pt>
                <c:pt idx="2">
                  <c:v>3rd April </c:v>
                </c:pt>
                <c:pt idx="3">
                  <c:v>10th April</c:v>
                </c:pt>
                <c:pt idx="4">
                  <c:v>17th April</c:v>
                </c:pt>
                <c:pt idx="5">
                  <c:v>Total</c:v>
                </c:pt>
              </c:strCache>
            </c:strRef>
          </c:cat>
          <c:val>
            <c:numRef>
              <c:f>Sheet1!$M$5:$M$10</c:f>
              <c:numCache>
                <c:formatCode>General</c:formatCode>
                <c:ptCount val="6"/>
                <c:pt idx="0">
                  <c:v>27</c:v>
                </c:pt>
                <c:pt idx="1">
                  <c:v>39</c:v>
                </c:pt>
                <c:pt idx="2">
                  <c:v>36</c:v>
                </c:pt>
                <c:pt idx="3">
                  <c:v>32</c:v>
                </c:pt>
                <c:pt idx="4">
                  <c:v>63</c:v>
                </c:pt>
                <c:pt idx="5">
                  <c:v>197</c:v>
                </c:pt>
              </c:numCache>
            </c:numRef>
          </c:val>
          <c:extLst>
            <c:ext xmlns:c16="http://schemas.microsoft.com/office/drawing/2014/chart" uri="{C3380CC4-5D6E-409C-BE32-E72D297353CC}">
              <c16:uniqueId val="{00000001-5BBD-419C-9F6B-DC131F8DC179}"/>
            </c:ext>
          </c:extLst>
        </c:ser>
        <c:dLbls>
          <c:showLegendKey val="0"/>
          <c:showVal val="0"/>
          <c:showCatName val="0"/>
          <c:showSerName val="0"/>
          <c:showPercent val="0"/>
          <c:showBubbleSize val="0"/>
        </c:dLbls>
        <c:gapWidth val="150"/>
        <c:overlap val="100"/>
        <c:axId val="1565166016"/>
        <c:axId val="1565272944"/>
      </c:barChart>
      <c:catAx>
        <c:axId val="15651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272944"/>
        <c:crosses val="autoZero"/>
        <c:auto val="1"/>
        <c:lblAlgn val="ctr"/>
        <c:lblOffset val="100"/>
        <c:noMultiLvlLbl val="0"/>
      </c:catAx>
      <c:valAx>
        <c:axId val="156527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16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[Reusable metal speculums - initial staff feedback.xlsx]Sheet2!PivotTable1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2 - Have you used a metal spculum</a:t>
            </a:r>
            <a:r>
              <a:rPr lang="en-GB" baseline="0"/>
              <a:t> instead of a plastic one since we re-introduced them to the trolleys?</a:t>
            </a:r>
            <a:r>
              <a:rPr lang="en-GB"/>
              <a: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marker>
          <c:symbol val="none"/>
        </c:marke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Sheet2!$B$3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DF-414A-947E-AD30B77413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DF-414A-947E-AD30B77413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DF-414A-947E-AD30B77413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DF-414A-947E-AD30B774138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FDF-414A-947E-AD30B774138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FDF-414A-947E-AD30B77413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Sheet2!$A$4:$A$10</c:f>
              <c:strCache>
                <c:ptCount val="6"/>
                <c:pt idx="0">
                  <c:v>a few times</c:v>
                </c:pt>
                <c:pt idx="1">
                  <c:v>Almost every time</c:v>
                </c:pt>
                <c:pt idx="2">
                  <c:v>Haven't had the opportunity yet</c:v>
                </c:pt>
                <c:pt idx="3">
                  <c:v>Not this time but I have used metal speculums in the past</c:v>
                </c:pt>
                <c:pt idx="4">
                  <c:v>Not tried them through choice</c:v>
                </c:pt>
                <c:pt idx="5">
                  <c:v>Some of the time</c:v>
                </c:pt>
              </c:strCache>
            </c:strRef>
          </c:cat>
          <c:val>
            <c:numRef>
              <c:f>Sheet2!$B$4:$B$10</c:f>
              <c:numCache>
                <c:formatCode>General</c:formatCode>
                <c:ptCount val="6"/>
                <c:pt idx="0">
                  <c:v>4</c:v>
                </c:pt>
                <c:pt idx="1">
                  <c:v>5</c:v>
                </c:pt>
                <c:pt idx="2">
                  <c:v>4</c:v>
                </c:pt>
                <c:pt idx="3">
                  <c:v>1</c:v>
                </c:pt>
                <c:pt idx="4">
                  <c:v>1</c:v>
                </c:pt>
                <c:pt idx="5">
                  <c:v>3</c:v>
                </c:pt>
              </c:numCache>
            </c:numRef>
          </c:val>
          <c:extLst>
            <c:ext xmlns:c16="http://schemas.microsoft.com/office/drawing/2014/chart" uri="{C3380CC4-5D6E-409C-BE32-E72D297353CC}">
              <c16:uniqueId val="{0000000C-DFDF-414A-947E-AD30B774138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[Reusable metal speculums - initial staff feedback.xlsx]Sheet2!PivotTable1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 How</a:t>
            </a:r>
            <a:r>
              <a:rPr lang="en-US" baseline="0"/>
              <a:t> have you found the metal speculums?</a:t>
            </a:r>
            <a:endParaRPr lang="en-US"/>
          </a:p>
        </c:rich>
      </c:tx>
      <c:layout>
        <c:manualLayout>
          <c:xMode val="edge"/>
          <c:yMode val="edge"/>
          <c:x val="0.16734784379850356"/>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Sheet2!$B$3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D2-4355-8E0D-14B72D3155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D2-4355-8E0D-14B72D3155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D2-4355-8E0D-14B72D3155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Sheet2!$A$4:$A$7</c:f>
              <c:strCache>
                <c:ptCount val="3"/>
                <c:pt idx="0">
                  <c:v>As easy to use as the plastic ones</c:v>
                </c:pt>
                <c:pt idx="1">
                  <c:v>Easier to use than the plastic ones</c:v>
                </c:pt>
                <c:pt idx="2">
                  <c:v>With the old speculums I found them the same</c:v>
                </c:pt>
              </c:strCache>
            </c:strRef>
          </c:cat>
          <c:val>
            <c:numRef>
              <c:f>Sheet2!$B$4:$B$7</c:f>
              <c:numCache>
                <c:formatCode>General</c:formatCode>
                <c:ptCount val="3"/>
                <c:pt idx="0">
                  <c:v>7</c:v>
                </c:pt>
                <c:pt idx="1">
                  <c:v>5</c:v>
                </c:pt>
                <c:pt idx="2">
                  <c:v>1</c:v>
                </c:pt>
              </c:numCache>
            </c:numRef>
          </c:val>
          <c:extLst>
            <c:ext xmlns:c16="http://schemas.microsoft.com/office/drawing/2014/chart" uri="{C3380CC4-5D6E-409C-BE32-E72D297353CC}">
              <c16:uniqueId val="{00000006-26D2-4355-8E0D-14B72D31550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[Reusable metal speculums - initial staff feedback.xlsx]Sheet7!PivotTable6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4 - What could encourage you to use metal speculum more?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Sheet7!$B$3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A6-4DED-8CD2-AFBF2EFDE8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A6-4DED-8CD2-AFBF2EFDE8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A6-4DED-8CD2-AFBF2EFDE8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A6-4DED-8CD2-AFBF2EFDE8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3A6-4DED-8CD2-AFBF2EFDE8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Sheet7!$A$4:$A$9</c:f>
              <c:strCache>
                <c:ptCount val="5"/>
                <c:pt idx="0">
                  <c:v>Better patient information</c:v>
                </c:pt>
                <c:pt idx="1">
                  <c:v>Better staff information and training</c:v>
                </c:pt>
                <c:pt idx="2">
                  <c:v>Making it easier to warm them</c:v>
                </c:pt>
                <c:pt idx="3">
                  <c:v>Making them more readily available in clinical rooms</c:v>
                </c:pt>
                <c:pt idx="4">
                  <c:v>Nothing - I'm happy to use them</c:v>
                </c:pt>
              </c:strCache>
            </c:strRef>
          </c:cat>
          <c:val>
            <c:numRef>
              <c:f>Sheet7!$B$4:$B$9</c:f>
              <c:numCache>
                <c:formatCode>General</c:formatCode>
                <c:ptCount val="5"/>
                <c:pt idx="0">
                  <c:v>2</c:v>
                </c:pt>
                <c:pt idx="1">
                  <c:v>1</c:v>
                </c:pt>
                <c:pt idx="2">
                  <c:v>3</c:v>
                </c:pt>
                <c:pt idx="3">
                  <c:v>7</c:v>
                </c:pt>
                <c:pt idx="4">
                  <c:v>9</c:v>
                </c:pt>
              </c:numCache>
            </c:numRef>
          </c:val>
          <c:extLst>
            <c:ext xmlns:c16="http://schemas.microsoft.com/office/drawing/2014/chart" uri="{C3380CC4-5D6E-409C-BE32-E72D297353CC}">
              <c16:uniqueId val="{0000000A-23A6-4DED-8CD2-AFBF2EFDE8F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CardiffandVale UHB</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Drayton (Cardiff and Vale UHB - ISH)</dc:creator>
  <cp:keywords/>
  <dc:description/>
  <cp:lastModifiedBy>Alice Clack</cp:lastModifiedBy>
  <cp:revision>5</cp:revision>
  <dcterms:created xsi:type="dcterms:W3CDTF">2023-06-20T12:26:00Z</dcterms:created>
  <dcterms:modified xsi:type="dcterms:W3CDTF">2023-06-22T15:47:00Z</dcterms:modified>
</cp:coreProperties>
</file>